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8A" w:rsidRPr="00ED4D0B" w:rsidRDefault="00D47B8A" w:rsidP="00D47B8A">
      <w:pPr>
        <w:pStyle w:val="Titolo"/>
        <w:pBdr>
          <w:top w:val="single" w:sz="4" w:space="1" w:color="auto"/>
          <w:left w:val="single" w:sz="4" w:space="4" w:color="auto"/>
          <w:bottom w:val="single" w:sz="4" w:space="1" w:color="auto"/>
          <w:right w:val="single" w:sz="4" w:space="4" w:color="auto"/>
        </w:pBdr>
      </w:pPr>
      <w:r w:rsidRPr="00ED4D0B">
        <w:t>Comitato  Regionale  Permanente Medicina Generale</w:t>
      </w:r>
    </w:p>
    <w:p w:rsidR="00D47B8A" w:rsidRDefault="00D47B8A" w:rsidP="00D47B8A">
      <w:pPr>
        <w:pStyle w:val="Titolo"/>
        <w:pBdr>
          <w:top w:val="single" w:sz="4" w:space="1" w:color="auto"/>
          <w:left w:val="single" w:sz="4" w:space="4" w:color="auto"/>
          <w:bottom w:val="single" w:sz="4" w:space="1" w:color="auto"/>
          <w:right w:val="single" w:sz="4" w:space="4" w:color="auto"/>
        </w:pBdr>
      </w:pPr>
      <w:r>
        <w:t xml:space="preserve"> </w:t>
      </w:r>
      <w:r w:rsidRPr="00ED4D0B">
        <w:t xml:space="preserve">Verbale del  </w:t>
      </w:r>
      <w:r>
        <w:t xml:space="preserve">20    febbraio    </w:t>
      </w:r>
      <w:r w:rsidRPr="00ED4D0B">
        <w:t>201</w:t>
      </w:r>
      <w:r>
        <w:t>8</w:t>
      </w:r>
      <w:r w:rsidRPr="00ED4D0B">
        <w:t xml:space="preserve"> </w:t>
      </w:r>
    </w:p>
    <w:p w:rsidR="00D47B8A" w:rsidRDefault="00D47B8A" w:rsidP="00D47B8A">
      <w:pPr>
        <w:pStyle w:val="Titolo"/>
      </w:pPr>
    </w:p>
    <w:p w:rsidR="00D47B8A" w:rsidRPr="00ED4D0B" w:rsidRDefault="00D47B8A" w:rsidP="00D47B8A">
      <w:pPr>
        <w:pStyle w:val="Titolo"/>
      </w:pPr>
    </w:p>
    <w:p w:rsidR="00D47B8A" w:rsidRDefault="00D47B8A" w:rsidP="00D47B8A">
      <w:pPr>
        <w:tabs>
          <w:tab w:val="clear" w:pos="0"/>
          <w:tab w:val="left" w:pos="-851"/>
        </w:tabs>
        <w:ind w:left="-851"/>
      </w:pPr>
      <w:r w:rsidRPr="005F07AF">
        <w:t>In data odierna c/o la sede dell’Assessorato Regionale alle Politiche della Salute, aula del I° piano, si è riunito il Comitato Regionale Permanente della Medicina Generale – ex art. 24 dell’ACN 29/7/2009 -.</w:t>
      </w:r>
    </w:p>
    <w:p w:rsidR="001B2098" w:rsidRDefault="001B2098" w:rsidP="00D47B8A"/>
    <w:p w:rsidR="00D47B8A" w:rsidRPr="005F07AF" w:rsidRDefault="00D47B8A" w:rsidP="001B2098">
      <w:pPr>
        <w:tabs>
          <w:tab w:val="clear" w:pos="0"/>
          <w:tab w:val="left" w:pos="-709"/>
        </w:tabs>
        <w:ind w:left="-709"/>
      </w:pPr>
      <w:r w:rsidRPr="005F07AF">
        <w:t xml:space="preserve">Inizio lavori ore 15.30 - Sono presenti : </w:t>
      </w:r>
    </w:p>
    <w:p w:rsidR="00D47B8A" w:rsidRPr="00C24CC3" w:rsidRDefault="00D47B8A" w:rsidP="00D47B8A">
      <w:r>
        <w:t xml:space="preserve">   </w:t>
      </w:r>
    </w:p>
    <w:tbl>
      <w:tblPr>
        <w:tblW w:w="10843" w:type="dxa"/>
        <w:tblInd w:w="-8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17"/>
        <w:gridCol w:w="1134"/>
        <w:gridCol w:w="850"/>
        <w:gridCol w:w="2542"/>
      </w:tblGrid>
      <w:tr w:rsidR="00D47B8A" w:rsidRPr="00606643" w:rsidTr="00A378CC">
        <w:tc>
          <w:tcPr>
            <w:tcW w:w="6317" w:type="dxa"/>
            <w:tcBorders>
              <w:top w:val="single" w:sz="4" w:space="0" w:color="auto"/>
              <w:left w:val="single" w:sz="4" w:space="0" w:color="auto"/>
              <w:bottom w:val="single" w:sz="4" w:space="0" w:color="auto"/>
              <w:right w:val="single" w:sz="4" w:space="0" w:color="auto"/>
            </w:tcBorders>
          </w:tcPr>
          <w:p w:rsidR="00D47B8A" w:rsidRPr="0059408C" w:rsidRDefault="00D47B8A" w:rsidP="00A378CC">
            <w:pPr>
              <w:rPr>
                <w:b/>
              </w:rPr>
            </w:pPr>
            <w:r w:rsidRPr="0059408C">
              <w:rPr>
                <w:b/>
              </w:rPr>
              <w:t>Componente Regionale</w:t>
            </w:r>
          </w:p>
        </w:tc>
        <w:tc>
          <w:tcPr>
            <w:tcW w:w="1134" w:type="dxa"/>
            <w:tcBorders>
              <w:top w:val="single" w:sz="4" w:space="0" w:color="auto"/>
              <w:left w:val="single" w:sz="4" w:space="0" w:color="auto"/>
              <w:bottom w:val="single" w:sz="4" w:space="0" w:color="auto"/>
              <w:right w:val="single" w:sz="4" w:space="0" w:color="auto"/>
            </w:tcBorders>
          </w:tcPr>
          <w:p w:rsidR="00D47B8A" w:rsidRPr="00606643" w:rsidRDefault="00D47B8A" w:rsidP="00A378CC">
            <w:r w:rsidRPr="00606643">
              <w:t>Presente</w:t>
            </w:r>
          </w:p>
        </w:tc>
        <w:tc>
          <w:tcPr>
            <w:tcW w:w="850" w:type="dxa"/>
            <w:tcBorders>
              <w:top w:val="single" w:sz="4" w:space="0" w:color="auto"/>
              <w:left w:val="single" w:sz="4" w:space="0" w:color="auto"/>
              <w:bottom w:val="single" w:sz="4" w:space="0" w:color="auto"/>
              <w:right w:val="single" w:sz="4" w:space="0" w:color="auto"/>
            </w:tcBorders>
          </w:tcPr>
          <w:p w:rsidR="00D47B8A" w:rsidRPr="00606643" w:rsidRDefault="00D47B8A" w:rsidP="00A378CC">
            <w:r w:rsidRPr="00606643">
              <w:t>Assente</w:t>
            </w:r>
          </w:p>
        </w:tc>
        <w:tc>
          <w:tcPr>
            <w:tcW w:w="2542" w:type="dxa"/>
            <w:tcBorders>
              <w:top w:val="single" w:sz="4" w:space="0" w:color="auto"/>
              <w:left w:val="single" w:sz="4" w:space="0" w:color="auto"/>
              <w:bottom w:val="single" w:sz="4" w:space="0" w:color="auto"/>
              <w:right w:val="single" w:sz="4" w:space="0" w:color="auto"/>
            </w:tcBorders>
          </w:tcPr>
          <w:p w:rsidR="00D47B8A" w:rsidRPr="00606643" w:rsidRDefault="00D47B8A" w:rsidP="00A378CC">
            <w:pPr>
              <w:jc w:val="center"/>
            </w:pPr>
            <w:r w:rsidRPr="00606643">
              <w:t>FIRMA</w:t>
            </w:r>
          </w:p>
        </w:tc>
      </w:tr>
      <w:tr w:rsidR="00D47B8A" w:rsidRPr="00606643" w:rsidTr="00A378CC">
        <w:trPr>
          <w:trHeight w:val="70"/>
        </w:trPr>
        <w:tc>
          <w:tcPr>
            <w:tcW w:w="6317" w:type="dxa"/>
            <w:tcBorders>
              <w:top w:val="single" w:sz="4" w:space="0" w:color="auto"/>
              <w:left w:val="single" w:sz="4" w:space="0" w:color="auto"/>
              <w:bottom w:val="single" w:sz="4" w:space="0" w:color="auto"/>
              <w:right w:val="single" w:sz="4" w:space="0" w:color="auto"/>
            </w:tcBorders>
          </w:tcPr>
          <w:p w:rsidR="00D47B8A" w:rsidRPr="00087D15" w:rsidRDefault="00D47B8A" w:rsidP="00A378CC">
            <w:r w:rsidRPr="00087D15">
              <w:t xml:space="preserve">Dott. </w:t>
            </w:r>
            <w:r>
              <w:t xml:space="preserve">  Giancarlo Ruscitti </w:t>
            </w:r>
            <w:r w:rsidRPr="00087D15">
              <w:t>- Direttore Dipartimento</w:t>
            </w:r>
          </w:p>
        </w:tc>
        <w:tc>
          <w:tcPr>
            <w:tcW w:w="1134" w:type="dxa"/>
            <w:tcBorders>
              <w:top w:val="single" w:sz="4" w:space="0" w:color="auto"/>
              <w:left w:val="single" w:sz="4" w:space="0" w:color="auto"/>
              <w:bottom w:val="single" w:sz="4" w:space="0" w:color="auto"/>
              <w:right w:val="single" w:sz="4" w:space="0" w:color="auto"/>
            </w:tcBorders>
          </w:tcPr>
          <w:p w:rsidR="00D47B8A" w:rsidRPr="00A55D89" w:rsidRDefault="00D47B8A" w:rsidP="00A378CC">
            <w:pPr>
              <w:jc w:val="center"/>
            </w:pPr>
            <w:r w:rsidRPr="002A0410">
              <w:t>si</w:t>
            </w:r>
          </w:p>
        </w:tc>
        <w:tc>
          <w:tcPr>
            <w:tcW w:w="850" w:type="dxa"/>
            <w:tcBorders>
              <w:top w:val="single" w:sz="4" w:space="0" w:color="auto"/>
              <w:left w:val="single" w:sz="4" w:space="0" w:color="auto"/>
              <w:bottom w:val="single" w:sz="4" w:space="0" w:color="auto"/>
              <w:right w:val="single" w:sz="4" w:space="0" w:color="auto"/>
            </w:tcBorders>
          </w:tcPr>
          <w:p w:rsidR="00D47B8A" w:rsidRPr="00A55D89" w:rsidRDefault="00D47B8A" w:rsidP="00A378CC">
            <w:pPr>
              <w:jc w:val="center"/>
            </w:pPr>
          </w:p>
        </w:tc>
        <w:tc>
          <w:tcPr>
            <w:tcW w:w="2542" w:type="dxa"/>
            <w:tcBorders>
              <w:top w:val="single" w:sz="4" w:space="0" w:color="auto"/>
              <w:left w:val="single" w:sz="4" w:space="0" w:color="auto"/>
              <w:bottom w:val="single" w:sz="4" w:space="0" w:color="auto"/>
              <w:right w:val="single" w:sz="4" w:space="0" w:color="auto"/>
            </w:tcBorders>
          </w:tcPr>
          <w:p w:rsidR="00D47B8A" w:rsidRPr="002F3150" w:rsidRDefault="00D47B8A" w:rsidP="00A378CC"/>
        </w:tc>
      </w:tr>
      <w:tr w:rsidR="00D47B8A" w:rsidRPr="00606643" w:rsidTr="00A378CC">
        <w:tc>
          <w:tcPr>
            <w:tcW w:w="6317" w:type="dxa"/>
            <w:tcBorders>
              <w:top w:val="single" w:sz="4" w:space="0" w:color="auto"/>
              <w:left w:val="single" w:sz="4" w:space="0" w:color="auto"/>
              <w:bottom w:val="single" w:sz="4" w:space="0" w:color="auto"/>
              <w:right w:val="single" w:sz="4" w:space="0" w:color="auto"/>
            </w:tcBorders>
          </w:tcPr>
          <w:p w:rsidR="00D47B8A" w:rsidRPr="00087D15" w:rsidRDefault="00D47B8A" w:rsidP="00A378CC">
            <w:r w:rsidRPr="00087D15">
              <w:t>Dott</w:t>
            </w:r>
            <w:r>
              <w:t xml:space="preserve">.    </w:t>
            </w:r>
            <w:r w:rsidRPr="00087D15">
              <w:t xml:space="preserve">Giovanni Campobasso  – Dirigente Sezione </w:t>
            </w:r>
            <w:r>
              <w:t>SGO</w:t>
            </w:r>
          </w:p>
        </w:tc>
        <w:tc>
          <w:tcPr>
            <w:tcW w:w="1134" w:type="dxa"/>
            <w:tcBorders>
              <w:top w:val="single" w:sz="4" w:space="0" w:color="auto"/>
              <w:left w:val="single" w:sz="4" w:space="0" w:color="auto"/>
              <w:bottom w:val="single" w:sz="4" w:space="0" w:color="auto"/>
              <w:right w:val="single" w:sz="4" w:space="0" w:color="auto"/>
            </w:tcBorders>
          </w:tcPr>
          <w:p w:rsidR="00D47B8A" w:rsidRPr="00A55D89" w:rsidRDefault="00D47B8A" w:rsidP="00A378CC">
            <w:pPr>
              <w:jc w:val="center"/>
            </w:pPr>
          </w:p>
        </w:tc>
        <w:tc>
          <w:tcPr>
            <w:tcW w:w="850" w:type="dxa"/>
            <w:tcBorders>
              <w:top w:val="single" w:sz="4" w:space="0" w:color="auto"/>
              <w:left w:val="single" w:sz="4" w:space="0" w:color="auto"/>
              <w:bottom w:val="single" w:sz="4" w:space="0" w:color="auto"/>
              <w:right w:val="single" w:sz="4" w:space="0" w:color="auto"/>
            </w:tcBorders>
          </w:tcPr>
          <w:p w:rsidR="00D47B8A" w:rsidRPr="002F3150" w:rsidRDefault="00D47B8A" w:rsidP="00A378CC">
            <w:pPr>
              <w:jc w:val="center"/>
            </w:pPr>
            <w:r w:rsidRPr="002A0410">
              <w:t>si</w:t>
            </w:r>
          </w:p>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606643" w:rsidTr="00A378CC">
        <w:tc>
          <w:tcPr>
            <w:tcW w:w="6317" w:type="dxa"/>
            <w:tcBorders>
              <w:top w:val="single" w:sz="4" w:space="0" w:color="auto"/>
              <w:left w:val="single" w:sz="4" w:space="0" w:color="auto"/>
              <w:bottom w:val="single" w:sz="4" w:space="0" w:color="auto"/>
              <w:right w:val="single" w:sz="4" w:space="0" w:color="auto"/>
            </w:tcBorders>
          </w:tcPr>
          <w:p w:rsidR="00D47B8A" w:rsidRPr="00087D15" w:rsidRDefault="00D47B8A" w:rsidP="00A378CC">
            <w:r w:rsidRPr="00087D15">
              <w:t xml:space="preserve">Ing. Vito BAVARO - Dirigente della Sezione </w:t>
            </w:r>
            <w:r>
              <w:t xml:space="preserve">Risorse Strumentali e Tecnologiche </w:t>
            </w:r>
            <w:r w:rsidRPr="00087D15">
              <w:t xml:space="preserve"> </w:t>
            </w:r>
          </w:p>
        </w:tc>
        <w:tc>
          <w:tcPr>
            <w:tcW w:w="1134" w:type="dxa"/>
            <w:tcBorders>
              <w:top w:val="single" w:sz="4" w:space="0" w:color="auto"/>
              <w:left w:val="single" w:sz="4" w:space="0" w:color="auto"/>
              <w:bottom w:val="single" w:sz="4" w:space="0" w:color="auto"/>
              <w:right w:val="single" w:sz="4" w:space="0" w:color="auto"/>
            </w:tcBorders>
          </w:tcPr>
          <w:p w:rsidR="00D47B8A" w:rsidRPr="007213D7" w:rsidRDefault="00D47B8A" w:rsidP="00A378CC">
            <w:pPr>
              <w:jc w:val="center"/>
            </w:pPr>
            <w:r>
              <w:t>si</w:t>
            </w:r>
          </w:p>
        </w:tc>
        <w:tc>
          <w:tcPr>
            <w:tcW w:w="850" w:type="dxa"/>
            <w:tcBorders>
              <w:top w:val="single" w:sz="4" w:space="0" w:color="auto"/>
              <w:left w:val="single" w:sz="4" w:space="0" w:color="auto"/>
              <w:bottom w:val="single" w:sz="4" w:space="0" w:color="auto"/>
              <w:right w:val="single" w:sz="4" w:space="0" w:color="auto"/>
            </w:tcBorders>
          </w:tcPr>
          <w:p w:rsidR="00D47B8A" w:rsidRPr="007213D7" w:rsidRDefault="00D47B8A" w:rsidP="00A378CC">
            <w:pPr>
              <w:jc w:val="center"/>
            </w:pPr>
          </w:p>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606643" w:rsidTr="00A378CC">
        <w:tc>
          <w:tcPr>
            <w:tcW w:w="6317" w:type="dxa"/>
            <w:tcBorders>
              <w:top w:val="single" w:sz="4" w:space="0" w:color="auto"/>
              <w:left w:val="single" w:sz="4" w:space="0" w:color="auto"/>
              <w:bottom w:val="single" w:sz="4" w:space="0" w:color="auto"/>
              <w:right w:val="single" w:sz="4" w:space="0" w:color="auto"/>
            </w:tcBorders>
          </w:tcPr>
          <w:p w:rsidR="00D47B8A" w:rsidRPr="00087D15" w:rsidRDefault="00D47B8A" w:rsidP="00A378CC">
            <w:r w:rsidRPr="00617CEA">
              <w:t xml:space="preserve">Dott.     Paolo Stella </w:t>
            </w:r>
            <w:r w:rsidRPr="00087D15">
              <w:t xml:space="preserve"> - Dirigente Politiche del Farmaco</w:t>
            </w:r>
          </w:p>
        </w:tc>
        <w:tc>
          <w:tcPr>
            <w:tcW w:w="1134" w:type="dxa"/>
            <w:tcBorders>
              <w:top w:val="single" w:sz="4" w:space="0" w:color="auto"/>
              <w:left w:val="single" w:sz="4" w:space="0" w:color="auto"/>
              <w:bottom w:val="single" w:sz="4" w:space="0" w:color="auto"/>
              <w:right w:val="single" w:sz="4" w:space="0" w:color="auto"/>
            </w:tcBorders>
          </w:tcPr>
          <w:p w:rsidR="00D47B8A" w:rsidRPr="007213D7" w:rsidRDefault="00D47B8A" w:rsidP="00A378CC">
            <w:pPr>
              <w:jc w:val="center"/>
            </w:pPr>
          </w:p>
        </w:tc>
        <w:tc>
          <w:tcPr>
            <w:tcW w:w="850" w:type="dxa"/>
            <w:tcBorders>
              <w:top w:val="single" w:sz="4" w:space="0" w:color="auto"/>
              <w:left w:val="single" w:sz="4" w:space="0" w:color="auto"/>
              <w:bottom w:val="single" w:sz="4" w:space="0" w:color="auto"/>
              <w:right w:val="single" w:sz="4" w:space="0" w:color="auto"/>
            </w:tcBorders>
          </w:tcPr>
          <w:p w:rsidR="00D47B8A" w:rsidRPr="007213D7" w:rsidRDefault="00D47B8A" w:rsidP="00A378CC">
            <w:pPr>
              <w:jc w:val="center"/>
            </w:pPr>
            <w:r>
              <w:t>si</w:t>
            </w:r>
          </w:p>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606643" w:rsidTr="00A378CC">
        <w:tc>
          <w:tcPr>
            <w:tcW w:w="6317" w:type="dxa"/>
            <w:tcBorders>
              <w:top w:val="single" w:sz="4" w:space="0" w:color="auto"/>
              <w:left w:val="single" w:sz="4" w:space="0" w:color="auto"/>
              <w:bottom w:val="single" w:sz="4" w:space="0" w:color="auto"/>
              <w:right w:val="single" w:sz="4" w:space="0" w:color="auto"/>
            </w:tcBorders>
          </w:tcPr>
          <w:p w:rsidR="00D47B8A" w:rsidRPr="00617CEA" w:rsidRDefault="00D47B8A" w:rsidP="00A378CC">
            <w:r w:rsidRPr="00617CEA">
              <w:t>Dr.ssa   Elisabetta GRAPS  - Dirigente ARESS</w:t>
            </w:r>
          </w:p>
        </w:tc>
        <w:tc>
          <w:tcPr>
            <w:tcW w:w="1134" w:type="dxa"/>
            <w:tcBorders>
              <w:top w:val="single" w:sz="4" w:space="0" w:color="auto"/>
              <w:left w:val="single" w:sz="4" w:space="0" w:color="auto"/>
              <w:bottom w:val="single" w:sz="4" w:space="0" w:color="auto"/>
              <w:right w:val="single" w:sz="4" w:space="0" w:color="auto"/>
            </w:tcBorders>
          </w:tcPr>
          <w:p w:rsidR="00D47B8A" w:rsidRPr="007213D7" w:rsidRDefault="00D47B8A" w:rsidP="00A378CC">
            <w:pPr>
              <w:jc w:val="center"/>
            </w:pPr>
            <w:r w:rsidRPr="002A0410">
              <w:t>si</w:t>
            </w:r>
          </w:p>
        </w:tc>
        <w:tc>
          <w:tcPr>
            <w:tcW w:w="850" w:type="dxa"/>
            <w:tcBorders>
              <w:top w:val="single" w:sz="4" w:space="0" w:color="auto"/>
              <w:left w:val="single" w:sz="4" w:space="0" w:color="auto"/>
              <w:bottom w:val="single" w:sz="4" w:space="0" w:color="auto"/>
              <w:right w:val="single" w:sz="4" w:space="0" w:color="auto"/>
            </w:tcBorders>
          </w:tcPr>
          <w:p w:rsidR="00D47B8A" w:rsidRPr="007213D7" w:rsidRDefault="00D47B8A" w:rsidP="00A378CC">
            <w:pPr>
              <w:jc w:val="center"/>
            </w:pPr>
          </w:p>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606643" w:rsidTr="00A378CC">
        <w:tc>
          <w:tcPr>
            <w:tcW w:w="6317" w:type="dxa"/>
            <w:tcBorders>
              <w:top w:val="single" w:sz="4" w:space="0" w:color="auto"/>
              <w:left w:val="single" w:sz="4" w:space="0" w:color="auto"/>
              <w:bottom w:val="single" w:sz="4" w:space="0" w:color="auto"/>
              <w:right w:val="single" w:sz="4" w:space="0" w:color="auto"/>
            </w:tcBorders>
          </w:tcPr>
          <w:p w:rsidR="00D47B8A" w:rsidRDefault="00D47B8A" w:rsidP="00A378CC">
            <w:pPr>
              <w:rPr>
                <w:lang w:val="en-US"/>
              </w:rPr>
            </w:pPr>
            <w:r>
              <w:rPr>
                <w:lang w:val="en-US"/>
              </w:rPr>
              <w:t xml:space="preserve">Dott.    Giuseppe    Lella </w:t>
            </w:r>
          </w:p>
        </w:tc>
        <w:tc>
          <w:tcPr>
            <w:tcW w:w="1134" w:type="dxa"/>
            <w:tcBorders>
              <w:top w:val="single" w:sz="4" w:space="0" w:color="auto"/>
              <w:left w:val="single" w:sz="4" w:space="0" w:color="auto"/>
              <w:bottom w:val="single" w:sz="4" w:space="0" w:color="auto"/>
              <w:right w:val="single" w:sz="4" w:space="0" w:color="auto"/>
            </w:tcBorders>
          </w:tcPr>
          <w:p w:rsidR="00D47B8A" w:rsidRPr="007213D7" w:rsidRDefault="00D47B8A" w:rsidP="00A378CC">
            <w:pPr>
              <w:jc w:val="center"/>
            </w:pPr>
            <w:r>
              <w:t>si</w:t>
            </w:r>
          </w:p>
        </w:tc>
        <w:tc>
          <w:tcPr>
            <w:tcW w:w="850"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p>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606643" w:rsidTr="00A378CC">
        <w:tc>
          <w:tcPr>
            <w:tcW w:w="6317" w:type="dxa"/>
            <w:tcBorders>
              <w:top w:val="single" w:sz="4" w:space="0" w:color="auto"/>
              <w:left w:val="single" w:sz="4" w:space="0" w:color="auto"/>
              <w:bottom w:val="single" w:sz="4" w:space="0" w:color="auto"/>
              <w:right w:val="single" w:sz="4" w:space="0" w:color="auto"/>
            </w:tcBorders>
          </w:tcPr>
          <w:p w:rsidR="00D47B8A" w:rsidRPr="00087D15" w:rsidRDefault="00D47B8A" w:rsidP="00A378CC">
            <w:r w:rsidRPr="00087D15">
              <w:t>Dott.    Vito Carbone      – Segretario Redigente</w:t>
            </w:r>
          </w:p>
        </w:tc>
        <w:tc>
          <w:tcPr>
            <w:tcW w:w="1134" w:type="dxa"/>
            <w:tcBorders>
              <w:top w:val="single" w:sz="4" w:space="0" w:color="auto"/>
              <w:left w:val="single" w:sz="4" w:space="0" w:color="auto"/>
              <w:bottom w:val="single" w:sz="4" w:space="0" w:color="auto"/>
              <w:right w:val="single" w:sz="4" w:space="0" w:color="auto"/>
            </w:tcBorders>
          </w:tcPr>
          <w:p w:rsidR="00D47B8A" w:rsidRPr="00A55D89" w:rsidRDefault="00D47B8A" w:rsidP="00A378CC">
            <w:pPr>
              <w:jc w:val="center"/>
            </w:pPr>
            <w:r w:rsidRPr="002F3150">
              <w:t>si</w:t>
            </w:r>
          </w:p>
        </w:tc>
        <w:tc>
          <w:tcPr>
            <w:tcW w:w="850" w:type="dxa"/>
            <w:tcBorders>
              <w:top w:val="single" w:sz="4" w:space="0" w:color="auto"/>
              <w:left w:val="single" w:sz="4" w:space="0" w:color="auto"/>
              <w:bottom w:val="single" w:sz="4" w:space="0" w:color="auto"/>
              <w:right w:val="single" w:sz="4" w:space="0" w:color="auto"/>
            </w:tcBorders>
          </w:tcPr>
          <w:p w:rsidR="00D47B8A" w:rsidRPr="00A55D89" w:rsidRDefault="00D47B8A" w:rsidP="00A378CC">
            <w:pPr>
              <w:jc w:val="center"/>
            </w:pPr>
          </w:p>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bl>
    <w:p w:rsidR="00D47B8A" w:rsidRPr="00606643" w:rsidRDefault="00D47B8A" w:rsidP="00D47B8A"/>
    <w:tbl>
      <w:tblPr>
        <w:tblW w:w="10843" w:type="dxa"/>
        <w:tblInd w:w="-8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02"/>
        <w:gridCol w:w="1149"/>
        <w:gridCol w:w="850"/>
        <w:gridCol w:w="2542"/>
      </w:tblGrid>
      <w:tr w:rsidR="00D47B8A" w:rsidRPr="00606643" w:rsidTr="00A378CC">
        <w:trPr>
          <w:trHeight w:val="269"/>
        </w:trPr>
        <w:tc>
          <w:tcPr>
            <w:tcW w:w="6302" w:type="dxa"/>
            <w:tcBorders>
              <w:top w:val="single" w:sz="4" w:space="0" w:color="auto"/>
              <w:left w:val="single" w:sz="4" w:space="0" w:color="auto"/>
              <w:bottom w:val="single" w:sz="4" w:space="0" w:color="auto"/>
              <w:right w:val="single" w:sz="4" w:space="0" w:color="auto"/>
            </w:tcBorders>
          </w:tcPr>
          <w:p w:rsidR="00D47B8A" w:rsidRPr="0059408C" w:rsidRDefault="00D47B8A" w:rsidP="00A378CC">
            <w:pPr>
              <w:rPr>
                <w:b/>
              </w:rPr>
            </w:pPr>
            <w:r w:rsidRPr="0059408C">
              <w:rPr>
                <w:b/>
              </w:rPr>
              <w:t>Componente sindacale</w:t>
            </w:r>
          </w:p>
        </w:tc>
        <w:tc>
          <w:tcPr>
            <w:tcW w:w="1149" w:type="dxa"/>
            <w:tcBorders>
              <w:top w:val="single" w:sz="4" w:space="0" w:color="auto"/>
              <w:left w:val="single" w:sz="4" w:space="0" w:color="auto"/>
              <w:bottom w:val="single" w:sz="4" w:space="0" w:color="auto"/>
              <w:right w:val="single" w:sz="4" w:space="0" w:color="auto"/>
            </w:tcBorders>
          </w:tcPr>
          <w:p w:rsidR="00D47B8A" w:rsidRPr="00606643" w:rsidRDefault="00D47B8A" w:rsidP="00A378CC">
            <w:r w:rsidRPr="00EB0B79">
              <w:t>Presente</w:t>
            </w:r>
          </w:p>
        </w:tc>
        <w:tc>
          <w:tcPr>
            <w:tcW w:w="850" w:type="dxa"/>
            <w:tcBorders>
              <w:top w:val="single" w:sz="4" w:space="0" w:color="auto"/>
              <w:left w:val="single" w:sz="4" w:space="0" w:color="auto"/>
              <w:bottom w:val="single" w:sz="4" w:space="0" w:color="auto"/>
              <w:right w:val="single" w:sz="4" w:space="0" w:color="auto"/>
            </w:tcBorders>
          </w:tcPr>
          <w:p w:rsidR="00D47B8A" w:rsidRPr="00EB0B79" w:rsidRDefault="00D47B8A" w:rsidP="00A378CC">
            <w:r w:rsidRPr="00EB0B79">
              <w:t>Assente</w:t>
            </w:r>
          </w:p>
        </w:tc>
        <w:tc>
          <w:tcPr>
            <w:tcW w:w="2542" w:type="dxa"/>
            <w:tcBorders>
              <w:top w:val="single" w:sz="4" w:space="0" w:color="auto"/>
              <w:left w:val="single" w:sz="4" w:space="0" w:color="auto"/>
              <w:bottom w:val="single" w:sz="4" w:space="0" w:color="auto"/>
              <w:right w:val="single" w:sz="4" w:space="0" w:color="auto"/>
            </w:tcBorders>
          </w:tcPr>
          <w:p w:rsidR="00D47B8A" w:rsidRPr="00606643" w:rsidRDefault="00D47B8A" w:rsidP="00A378CC">
            <w:pPr>
              <w:jc w:val="center"/>
            </w:pPr>
            <w:r w:rsidRPr="00606643">
              <w:t>FIRMA</w:t>
            </w:r>
          </w:p>
        </w:tc>
      </w:tr>
      <w:tr w:rsidR="00D47B8A" w:rsidRPr="00606643" w:rsidTr="00A378CC">
        <w:trPr>
          <w:trHeight w:val="70"/>
        </w:trPr>
        <w:tc>
          <w:tcPr>
            <w:tcW w:w="6302" w:type="dxa"/>
            <w:tcBorders>
              <w:top w:val="single" w:sz="4" w:space="0" w:color="auto"/>
              <w:left w:val="single" w:sz="4" w:space="0" w:color="auto"/>
              <w:bottom w:val="single" w:sz="4" w:space="0" w:color="auto"/>
              <w:right w:val="single" w:sz="4" w:space="0" w:color="auto"/>
            </w:tcBorders>
          </w:tcPr>
          <w:p w:rsidR="00D47B8A" w:rsidRPr="0059408C" w:rsidRDefault="00D47B8A" w:rsidP="00A378CC">
            <w:pPr>
              <w:rPr>
                <w:b/>
              </w:rPr>
            </w:pPr>
            <w:r w:rsidRPr="0059408C">
              <w:rPr>
                <w:b/>
              </w:rPr>
              <w:t>O.S. FIMMG</w:t>
            </w:r>
          </w:p>
        </w:tc>
        <w:tc>
          <w:tcPr>
            <w:tcW w:w="1149" w:type="dxa"/>
            <w:tcBorders>
              <w:top w:val="single" w:sz="4" w:space="0" w:color="auto"/>
              <w:left w:val="single" w:sz="4" w:space="0" w:color="auto"/>
              <w:bottom w:val="single" w:sz="4" w:space="0" w:color="auto"/>
              <w:right w:val="single" w:sz="4" w:space="0" w:color="auto"/>
            </w:tcBorders>
          </w:tcPr>
          <w:p w:rsidR="00D47B8A" w:rsidRPr="00606643" w:rsidRDefault="00D47B8A" w:rsidP="00A378CC"/>
        </w:tc>
        <w:tc>
          <w:tcPr>
            <w:tcW w:w="850" w:type="dxa"/>
            <w:tcBorders>
              <w:top w:val="single" w:sz="4" w:space="0" w:color="auto"/>
              <w:left w:val="single" w:sz="4" w:space="0" w:color="auto"/>
              <w:bottom w:val="single" w:sz="4" w:space="0" w:color="auto"/>
              <w:right w:val="single" w:sz="4" w:space="0" w:color="auto"/>
            </w:tcBorders>
          </w:tcPr>
          <w:p w:rsidR="00D47B8A" w:rsidRPr="00606643"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Pr="00606643" w:rsidRDefault="00D47B8A" w:rsidP="00A378CC"/>
        </w:tc>
      </w:tr>
      <w:tr w:rsidR="00D47B8A" w:rsidRPr="00D60B61" w:rsidTr="00A378CC">
        <w:trPr>
          <w:trHeight w:val="269"/>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t>Dr.  Avarello                  Giulio</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697DD1">
              <w:t>si</w:t>
            </w: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D60B61" w:rsidTr="00A378CC">
        <w:trPr>
          <w:trHeight w:val="269"/>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rsidRPr="009169BF">
              <w:t>Dr</w:t>
            </w:r>
            <w:r w:rsidRPr="009169BF">
              <w:rPr>
                <w:color w:val="C00000"/>
              </w:rPr>
              <w:t xml:space="preserve">.  </w:t>
            </w:r>
            <w:r>
              <w:t xml:space="preserve">Calabrese               Nicola   </w:t>
            </w:r>
            <w:r w:rsidRPr="009169BF">
              <w:t xml:space="preserve"> </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FC1B47">
              <w:t>si</w:t>
            </w: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D60B61" w:rsidTr="00A378CC">
        <w:trPr>
          <w:trHeight w:val="269"/>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rsidRPr="009169BF">
              <w:t xml:space="preserve">Dr.  </w:t>
            </w:r>
            <w:r>
              <w:t>Monopoli               Donato</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FC1B47">
              <w:t>si</w:t>
            </w: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D60B61" w:rsidTr="00A378CC">
        <w:trPr>
          <w:trHeight w:val="269"/>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rsidRPr="009169BF">
              <w:t xml:space="preserve">Dr.  </w:t>
            </w:r>
            <w:r>
              <w:t xml:space="preserve">Andrani                  Alberto </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FC1B47">
              <w:t>si</w:t>
            </w: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D60B61" w:rsidTr="00A378CC">
        <w:trPr>
          <w:trHeight w:val="269"/>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rsidRPr="009169BF">
              <w:t xml:space="preserve">Dr.  De Paolis             </w:t>
            </w:r>
            <w:r>
              <w:t xml:space="preserve">   </w:t>
            </w:r>
            <w:r w:rsidRPr="009169BF">
              <w:t>Pierluigi</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FC1B47">
              <w:t>si</w:t>
            </w: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D60B61" w:rsidTr="00A378CC">
        <w:trPr>
          <w:trHeight w:val="249"/>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t>Dr.  Del Vecchio           Benedetto</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FC1B47">
              <w:t>si</w:t>
            </w: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D60B61" w:rsidTr="00A378CC">
        <w:trPr>
          <w:trHeight w:val="272"/>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t xml:space="preserve">Dr.  Drago                     Pietro  </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FC1B47">
              <w:t>si</w:t>
            </w: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D60B61" w:rsidTr="00A378CC">
        <w:trPr>
          <w:trHeight w:val="70"/>
        </w:trPr>
        <w:tc>
          <w:tcPr>
            <w:tcW w:w="6302" w:type="dxa"/>
            <w:tcBorders>
              <w:top w:val="single" w:sz="4" w:space="0" w:color="auto"/>
              <w:left w:val="single" w:sz="4" w:space="0" w:color="auto"/>
              <w:bottom w:val="single" w:sz="4" w:space="0" w:color="auto"/>
              <w:right w:val="single" w:sz="4" w:space="0" w:color="auto"/>
            </w:tcBorders>
          </w:tcPr>
          <w:p w:rsidR="00D47B8A" w:rsidRPr="0059408C" w:rsidRDefault="00D47B8A" w:rsidP="00A378CC">
            <w:pPr>
              <w:rPr>
                <w:b/>
              </w:rPr>
            </w:pPr>
            <w:r w:rsidRPr="0059408C">
              <w:rPr>
                <w:b/>
              </w:rPr>
              <w:t>O.S.  SMI</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Pr="002F3150" w:rsidRDefault="00D47B8A" w:rsidP="00A378CC"/>
        </w:tc>
      </w:tr>
      <w:tr w:rsidR="00D47B8A" w:rsidRPr="00D60B61" w:rsidTr="00A378CC">
        <w:trPr>
          <w:trHeight w:val="269"/>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rsidRPr="009169BF">
              <w:t xml:space="preserve">Dr.  </w:t>
            </w:r>
            <w:r>
              <w:t xml:space="preserve">Lampugnani           Anna </w:t>
            </w:r>
            <w:r w:rsidRPr="009169BF">
              <w:t xml:space="preserve"> </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01781C">
              <w:t>si</w:t>
            </w: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D60B61" w:rsidTr="00A378CC">
        <w:trPr>
          <w:trHeight w:val="269"/>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rsidRPr="009169BF">
              <w:t xml:space="preserve">Dr.  Falcone                 </w:t>
            </w:r>
            <w:r>
              <w:t xml:space="preserve"> </w:t>
            </w:r>
            <w:r w:rsidRPr="009169BF">
              <w:t xml:space="preserve">Michele </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01781C">
              <w:t>si</w:t>
            </w:r>
          </w:p>
        </w:tc>
        <w:tc>
          <w:tcPr>
            <w:tcW w:w="850" w:type="dxa"/>
            <w:tcBorders>
              <w:top w:val="single" w:sz="4" w:space="0" w:color="auto"/>
              <w:left w:val="single" w:sz="4" w:space="0" w:color="auto"/>
              <w:bottom w:val="single" w:sz="4" w:space="0" w:color="auto"/>
              <w:right w:val="single" w:sz="4" w:space="0" w:color="auto"/>
            </w:tcBorders>
          </w:tcPr>
          <w:p w:rsidR="00D47B8A" w:rsidRPr="00B5207A"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Default="00D47B8A" w:rsidP="00A378CC"/>
        </w:tc>
      </w:tr>
      <w:tr w:rsidR="00D47B8A" w:rsidRPr="00D60B61" w:rsidTr="00A378CC">
        <w:trPr>
          <w:trHeight w:val="285"/>
        </w:trPr>
        <w:tc>
          <w:tcPr>
            <w:tcW w:w="6302" w:type="dxa"/>
            <w:tcBorders>
              <w:top w:val="single" w:sz="4" w:space="0" w:color="auto"/>
              <w:left w:val="single" w:sz="4" w:space="0" w:color="auto"/>
              <w:bottom w:val="single" w:sz="4" w:space="0" w:color="auto"/>
              <w:right w:val="single" w:sz="4" w:space="0" w:color="auto"/>
            </w:tcBorders>
          </w:tcPr>
          <w:p w:rsidR="00D47B8A" w:rsidRPr="0059408C" w:rsidRDefault="00D47B8A" w:rsidP="00A378CC">
            <w:pPr>
              <w:rPr>
                <w:b/>
              </w:rPr>
            </w:pPr>
            <w:r w:rsidRPr="0059408C">
              <w:rPr>
                <w:b/>
              </w:rPr>
              <w:t>O. S.   SNAMI</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Pr="002F3150" w:rsidRDefault="00D47B8A" w:rsidP="00A378CC"/>
        </w:tc>
      </w:tr>
      <w:tr w:rsidR="00D47B8A" w:rsidRPr="00D60B61" w:rsidTr="00A378CC">
        <w:trPr>
          <w:trHeight w:val="223"/>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t xml:space="preserve">Dr.  Chiodo                   Antonio </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2F3150">
              <w:t>si</w:t>
            </w: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Pr="00DC6A7C" w:rsidRDefault="00D47B8A" w:rsidP="00A378CC"/>
        </w:tc>
      </w:tr>
      <w:tr w:rsidR="00D47B8A" w:rsidRPr="00D60B61" w:rsidTr="00A378CC">
        <w:trPr>
          <w:trHeight w:val="285"/>
        </w:trPr>
        <w:tc>
          <w:tcPr>
            <w:tcW w:w="6302" w:type="dxa"/>
            <w:tcBorders>
              <w:top w:val="single" w:sz="4" w:space="0" w:color="auto"/>
              <w:left w:val="single" w:sz="4" w:space="0" w:color="auto"/>
              <w:bottom w:val="single" w:sz="4" w:space="0" w:color="auto"/>
              <w:right w:val="single" w:sz="4" w:space="0" w:color="auto"/>
            </w:tcBorders>
          </w:tcPr>
          <w:p w:rsidR="00D47B8A" w:rsidRPr="0059408C" w:rsidRDefault="00D47B8A" w:rsidP="00A378CC">
            <w:pPr>
              <w:rPr>
                <w:b/>
              </w:rPr>
            </w:pPr>
            <w:r w:rsidRPr="0059408C">
              <w:rPr>
                <w:b/>
              </w:rPr>
              <w:t>O.S. Intesa  Sindacale</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p>
        </w:tc>
        <w:tc>
          <w:tcPr>
            <w:tcW w:w="850" w:type="dxa"/>
            <w:tcBorders>
              <w:top w:val="single" w:sz="4" w:space="0" w:color="auto"/>
              <w:left w:val="single" w:sz="4" w:space="0" w:color="auto"/>
              <w:bottom w:val="single" w:sz="4" w:space="0" w:color="auto"/>
              <w:right w:val="single" w:sz="4" w:space="0" w:color="auto"/>
            </w:tcBorders>
          </w:tcPr>
          <w:p w:rsidR="00D47B8A" w:rsidRPr="00D60B61"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Pr="002F3150" w:rsidRDefault="00D47B8A" w:rsidP="00A378CC"/>
        </w:tc>
      </w:tr>
      <w:tr w:rsidR="00D47B8A" w:rsidRPr="00D60B61" w:rsidTr="00A378CC">
        <w:trPr>
          <w:trHeight w:val="269"/>
        </w:trPr>
        <w:tc>
          <w:tcPr>
            <w:tcW w:w="6302" w:type="dxa"/>
            <w:tcBorders>
              <w:top w:val="single" w:sz="4" w:space="0" w:color="auto"/>
              <w:left w:val="single" w:sz="4" w:space="0" w:color="auto"/>
              <w:bottom w:val="single" w:sz="4" w:space="0" w:color="auto"/>
              <w:right w:val="single" w:sz="4" w:space="0" w:color="auto"/>
            </w:tcBorders>
          </w:tcPr>
          <w:p w:rsidR="00D47B8A" w:rsidRPr="009169BF" w:rsidRDefault="00D47B8A" w:rsidP="00A378CC">
            <w:r w:rsidRPr="002F3150">
              <w:t xml:space="preserve">Dr.   </w:t>
            </w:r>
            <w:r>
              <w:t xml:space="preserve">Panunzio              Michele </w:t>
            </w:r>
          </w:p>
        </w:tc>
        <w:tc>
          <w:tcPr>
            <w:tcW w:w="1149" w:type="dxa"/>
            <w:tcBorders>
              <w:top w:val="single" w:sz="4" w:space="0" w:color="auto"/>
              <w:left w:val="single" w:sz="4" w:space="0" w:color="auto"/>
              <w:bottom w:val="single" w:sz="4" w:space="0" w:color="auto"/>
              <w:right w:val="single" w:sz="4" w:space="0" w:color="auto"/>
            </w:tcBorders>
          </w:tcPr>
          <w:p w:rsidR="00D47B8A" w:rsidRDefault="00D47B8A" w:rsidP="00A378CC">
            <w:pPr>
              <w:jc w:val="center"/>
            </w:pPr>
            <w:r w:rsidRPr="002F3150">
              <w:t>si</w:t>
            </w:r>
          </w:p>
        </w:tc>
        <w:tc>
          <w:tcPr>
            <w:tcW w:w="850" w:type="dxa"/>
            <w:tcBorders>
              <w:top w:val="single" w:sz="4" w:space="0" w:color="auto"/>
              <w:left w:val="single" w:sz="4" w:space="0" w:color="auto"/>
              <w:bottom w:val="single" w:sz="4" w:space="0" w:color="auto"/>
              <w:right w:val="single" w:sz="4" w:space="0" w:color="auto"/>
            </w:tcBorders>
          </w:tcPr>
          <w:p w:rsidR="00D47B8A" w:rsidRPr="00D2733F" w:rsidRDefault="00D47B8A" w:rsidP="00A378CC"/>
        </w:tc>
        <w:tc>
          <w:tcPr>
            <w:tcW w:w="2542" w:type="dxa"/>
            <w:tcBorders>
              <w:top w:val="single" w:sz="4" w:space="0" w:color="auto"/>
              <w:left w:val="single" w:sz="4" w:space="0" w:color="auto"/>
              <w:bottom w:val="single" w:sz="4" w:space="0" w:color="auto"/>
              <w:right w:val="single" w:sz="4" w:space="0" w:color="auto"/>
            </w:tcBorders>
          </w:tcPr>
          <w:p w:rsidR="00D47B8A" w:rsidRPr="00DC6A7C" w:rsidRDefault="00D47B8A" w:rsidP="00A378CC"/>
        </w:tc>
      </w:tr>
    </w:tbl>
    <w:p w:rsidR="00D47B8A" w:rsidRDefault="00D47B8A" w:rsidP="00D47B8A"/>
    <w:p w:rsidR="00D47B8A" w:rsidRDefault="00D47B8A" w:rsidP="00D47B8A">
      <w:r w:rsidRPr="007213D7">
        <w:t xml:space="preserve">Ordine del giorno </w:t>
      </w:r>
      <w:r>
        <w:t xml:space="preserve">  </w:t>
      </w:r>
      <w:r w:rsidRPr="007213D7">
        <w:t>:</w:t>
      </w:r>
    </w:p>
    <w:p w:rsidR="00D47B8A" w:rsidRDefault="00D47B8A" w:rsidP="00D47B8A"/>
    <w:p w:rsidR="00D47B8A" w:rsidRDefault="00D47B8A" w:rsidP="00D47B8A">
      <w:pPr>
        <w:pStyle w:val="Paragrafoelenco"/>
        <w:numPr>
          <w:ilvl w:val="0"/>
          <w:numId w:val="1"/>
        </w:numPr>
        <w:tabs>
          <w:tab w:val="clear" w:pos="0"/>
        </w:tabs>
        <w:ind w:left="705"/>
        <w:jc w:val="left"/>
      </w:pPr>
      <w:r>
        <w:t>Sicurezza sedi di guardia medica;</w:t>
      </w:r>
    </w:p>
    <w:p w:rsidR="00D47B8A" w:rsidRDefault="00D47B8A" w:rsidP="00D47B8A">
      <w:pPr>
        <w:pStyle w:val="Paragrafoelenco"/>
        <w:numPr>
          <w:ilvl w:val="0"/>
          <w:numId w:val="1"/>
        </w:numPr>
        <w:tabs>
          <w:tab w:val="clear" w:pos="0"/>
        </w:tabs>
        <w:ind w:left="705"/>
        <w:jc w:val="left"/>
      </w:pPr>
      <w:r>
        <w:t>Quesito ASL BA : forme associative semplici – interpretazione autentica combinato disposto art. 2 commi 3 ) e 10)  AIR/ MMG anno   2007;</w:t>
      </w:r>
    </w:p>
    <w:p w:rsidR="00D47B8A" w:rsidRDefault="00D47B8A" w:rsidP="00D47B8A">
      <w:pPr>
        <w:pStyle w:val="Paragrafoelenco"/>
        <w:numPr>
          <w:ilvl w:val="0"/>
          <w:numId w:val="1"/>
        </w:numPr>
        <w:tabs>
          <w:tab w:val="clear" w:pos="0"/>
        </w:tabs>
        <w:ind w:left="705"/>
        <w:jc w:val="left"/>
      </w:pPr>
      <w:r>
        <w:t>Fascicolo sanitario elettronico  alimentazione del patient summary da parte dei MMG/PLS ed eventuale piano di formazione degli stessi Richiesta del  MEF/MdS 13/02/2018;</w:t>
      </w:r>
    </w:p>
    <w:p w:rsidR="00D47B8A" w:rsidRDefault="00D47B8A" w:rsidP="00D47B8A">
      <w:pPr>
        <w:pStyle w:val="Paragrafoelenco"/>
        <w:numPr>
          <w:ilvl w:val="0"/>
          <w:numId w:val="1"/>
        </w:numPr>
        <w:tabs>
          <w:tab w:val="clear" w:pos="0"/>
        </w:tabs>
        <w:ind w:left="705"/>
        <w:jc w:val="left"/>
      </w:pPr>
      <w:r>
        <w:t>Nota FIMMG  del 12/2/2018 : SEU  118  - Scheda  digitale paziente  - tempi  di attesa .</w:t>
      </w:r>
    </w:p>
    <w:p w:rsidR="00D47B8A" w:rsidRDefault="00D47B8A" w:rsidP="00D47B8A">
      <w:pPr>
        <w:pStyle w:val="Paragrafoelenco"/>
        <w:numPr>
          <w:ilvl w:val="0"/>
          <w:numId w:val="1"/>
        </w:numPr>
        <w:tabs>
          <w:tab w:val="clear" w:pos="0"/>
        </w:tabs>
        <w:ind w:left="705"/>
        <w:jc w:val="left"/>
      </w:pPr>
      <w:r>
        <w:t>Quesito ASL BA  iscrizione in deroga   pazienti non residenti ;</w:t>
      </w:r>
    </w:p>
    <w:p w:rsidR="00D47B8A" w:rsidRDefault="00D47B8A" w:rsidP="00D47B8A">
      <w:pPr>
        <w:pStyle w:val="Paragrafoelenco"/>
        <w:numPr>
          <w:ilvl w:val="0"/>
          <w:numId w:val="1"/>
        </w:numPr>
        <w:tabs>
          <w:tab w:val="clear" w:pos="0"/>
        </w:tabs>
        <w:ind w:left="705"/>
        <w:jc w:val="left"/>
      </w:pPr>
      <w:r>
        <w:t xml:space="preserve">Richiesta Snami :  informativa  alla cittadinanza sul principio della appropriatezza prescrittiva – in analogia  al modello già utilizzato nella ASL FG </w:t>
      </w:r>
    </w:p>
    <w:p w:rsidR="00D47B8A" w:rsidRPr="003962F5" w:rsidRDefault="00D47B8A" w:rsidP="00D47B8A">
      <w:pPr>
        <w:numPr>
          <w:ilvl w:val="0"/>
          <w:numId w:val="1"/>
        </w:numPr>
        <w:tabs>
          <w:tab w:val="left" w:pos="709"/>
        </w:tabs>
        <w:ind w:left="709" w:hanging="709"/>
      </w:pPr>
      <w:r w:rsidRPr="003962F5">
        <w:rPr>
          <w:rFonts w:eastAsia="Calibri"/>
          <w:lang w:eastAsia="en-US"/>
        </w:rPr>
        <w:t xml:space="preserve">Informativa in merito alle "modalità di conferimento dei dati delle vaccinazioni all’anagrafe regionale (GIAVA)”. </w:t>
      </w:r>
    </w:p>
    <w:p w:rsidR="00D47B8A" w:rsidRDefault="00D47B8A" w:rsidP="00D47B8A">
      <w:pPr>
        <w:numPr>
          <w:ilvl w:val="0"/>
          <w:numId w:val="1"/>
        </w:numPr>
        <w:tabs>
          <w:tab w:val="left" w:pos="709"/>
        </w:tabs>
        <w:ind w:left="709" w:hanging="709"/>
      </w:pPr>
      <w:r>
        <w:t xml:space="preserve">Varie ed eventuali </w:t>
      </w:r>
    </w:p>
    <w:p w:rsidR="00D47B8A" w:rsidRDefault="00D47B8A" w:rsidP="00D47B8A"/>
    <w:p w:rsidR="00D47B8A" w:rsidRDefault="00D47B8A" w:rsidP="00D47B8A"/>
    <w:p w:rsidR="00D47B8A" w:rsidRPr="00C95CE0" w:rsidRDefault="001B2098" w:rsidP="00D47B8A">
      <w:pPr>
        <w:rPr>
          <w:b/>
        </w:rPr>
      </w:pPr>
      <w:r>
        <w:t xml:space="preserve">Al fine di consentire al Dirigente di Sezione  di  partecipare ad altri  incontri istituzionale </w:t>
      </w:r>
      <w:r w:rsidR="00D47B8A">
        <w:t xml:space="preserve">viene </w:t>
      </w:r>
      <w:r>
        <w:t xml:space="preserve">anticipato il punto iscritto </w:t>
      </w:r>
      <w:r w:rsidR="00D47B8A" w:rsidRPr="00C95CE0">
        <w:rPr>
          <w:b/>
        </w:rPr>
        <w:t>a</w:t>
      </w:r>
      <w:r w:rsidRPr="00C95CE0">
        <w:rPr>
          <w:b/>
        </w:rPr>
        <w:t xml:space="preserve">l </w:t>
      </w:r>
      <w:r w:rsidR="00D47B8A" w:rsidRPr="00C95CE0">
        <w:rPr>
          <w:b/>
        </w:rPr>
        <w:t xml:space="preserve"> n. 7</w:t>
      </w:r>
      <w:r w:rsidRPr="00C95CE0">
        <w:rPr>
          <w:b/>
        </w:rPr>
        <w:t xml:space="preserve"> dell’o.d.g.</w:t>
      </w:r>
      <w:r w:rsidR="00D47B8A" w:rsidRPr="00C95CE0">
        <w:rPr>
          <w:b/>
        </w:rPr>
        <w:t xml:space="preserve"> </w:t>
      </w:r>
    </w:p>
    <w:p w:rsidR="00D47B8A" w:rsidRDefault="00D47B8A" w:rsidP="00D47B8A">
      <w:r>
        <w:t xml:space="preserve">Introduce la discussione la dr.ssa Zampano che illustra ai convenuti  il  </w:t>
      </w:r>
      <w:r w:rsidRPr="003962F5">
        <w:t>razionale operativo</w:t>
      </w:r>
      <w:r>
        <w:t xml:space="preserve"> </w:t>
      </w:r>
      <w:r w:rsidR="001B2098">
        <w:t xml:space="preserve">( </w:t>
      </w:r>
      <w:r>
        <w:t xml:space="preserve">già inviato </w:t>
      </w:r>
      <w:r w:rsidR="001B2098">
        <w:t xml:space="preserve">con la </w:t>
      </w:r>
      <w:r>
        <w:t xml:space="preserve"> convocazione</w:t>
      </w:r>
      <w:r w:rsidR="00FF3A82">
        <w:t xml:space="preserve"> odierna</w:t>
      </w:r>
      <w:r w:rsidR="00691F60">
        <w:t>)</w:t>
      </w:r>
      <w:r>
        <w:t xml:space="preserve"> </w:t>
      </w:r>
      <w:r w:rsidR="001B2098">
        <w:t xml:space="preserve">relativo </w:t>
      </w:r>
      <w:r>
        <w:t xml:space="preserve"> alla campagna antinfluenzale – </w:t>
      </w:r>
      <w:r w:rsidR="00FF3A82">
        <w:t>antipneumococcica e antizoster</w:t>
      </w:r>
      <w:r>
        <w:t>.</w:t>
      </w:r>
      <w:r w:rsidR="00691F60">
        <w:t xml:space="preserve"> A tale riguardo ripercorre  le tappe istitutive del sistema informativo  per la </w:t>
      </w:r>
      <w:r w:rsidR="00CB29A3">
        <w:t xml:space="preserve">“ </w:t>
      </w:r>
      <w:r w:rsidR="00691F60">
        <w:t xml:space="preserve">Gestione Informatizzata </w:t>
      </w:r>
      <w:r w:rsidR="00CB29A3">
        <w:t xml:space="preserve">dell’Anagrafe  dei Soggetti Vaccinati e delle Attività Vaccinali ( Giava), facente parte del sistema integrato di sanità elettronica di all’art. 1 della L.R. 16/2011. Tale anagrafe  deve contenere tutti i dati  relativi alle vaccinazioni eseguite in favore dei cittadini, che necessariamente dev’essere  alimentata dai medici di A.P. e dai PLS, sulla base del Piano regionale e degli accordi nazionali ed integrativi  regionali di categoria. A tal fine, comunica che in data 31.10.2017 è stato svolto un incontro in videoconferenza tra i tecnici del sistema Informativo regionale GIAVA e </w:t>
      </w:r>
      <w:r w:rsidR="00DE1010">
        <w:t>quelli di tutte le software house  fornitrici delle soluzioni  di cartella clinica e dei sistemi  informatici in uso presso i medici di A.P. ed i PLS  della regione Puglia. L’incontro è stato finalizzato  a verificare la completezza dei dati gestiti  dai diversi applicativi in uso, e quindi individuare gli interenti da attuare negli applicativi al fine di consentire ai medici di A.P. ed ai PLS la registrazione puntuale delle informazioni relative alle somministrazioni di vaccini alle diverse categorie di soggetti, nonché alla definizione delle modalità tecniche di export-  dati  da canalizzare  nel sistema GIAVA Puglia.</w:t>
      </w:r>
    </w:p>
    <w:p w:rsidR="00DE1010" w:rsidRDefault="00FF3A82" w:rsidP="00D47B8A">
      <w:r>
        <w:t xml:space="preserve">Durante </w:t>
      </w:r>
      <w:r w:rsidR="00DE1010">
        <w:t>l’incontro in questione, è stato condiviso</w:t>
      </w:r>
      <w:r>
        <w:t>,</w:t>
      </w:r>
      <w:r w:rsidR="00DE1010">
        <w:t xml:space="preserve"> con tutti i tecnici delle software house</w:t>
      </w:r>
      <w:r w:rsidR="00614E81">
        <w:t>,</w:t>
      </w:r>
      <w:r w:rsidR="00DE1010">
        <w:t xml:space="preserve"> il tracciato record richiamato nell’allegato 2)  del razionale, da adottar</w:t>
      </w:r>
      <w:r w:rsidR="00614E81">
        <w:t>si</w:t>
      </w:r>
      <w:r w:rsidR="00DE1010">
        <w:t xml:space="preserve"> per l’export</w:t>
      </w:r>
      <w:r w:rsidR="00614E81">
        <w:t xml:space="preserve">  dei dati. Nel  merito,  tutte  le società fornitrici  delle soluzioni cartella clinica, si sono dichiarate  circa la compatibilità  dei sistemi operativi e quindi della fattibilità, senza alcun ulteriore onere a carico del medici di A.P. e dei PLS, i quali  dovranno soltanto limitarsi ad un invio dei dati acquisiti e registrati.</w:t>
      </w:r>
      <w:r>
        <w:t xml:space="preserve"> </w:t>
      </w:r>
      <w:r w:rsidR="00614E81">
        <w:t xml:space="preserve">Sarà cura dell’Amministrazione regionale assicurare  che i dati validati  nel sistema GIAVA Puglia siano conferiti automaticamente, per gli adempimenti amministrativi, al sistema informativo regionale Edotto in modo  da assicurare  il riconoscimento delle prestazioni erogate dai medici di A.P. e dai PLS, senza alcun ulteriore onere operativo a carico di ogni singolo medico di AP </w:t>
      </w:r>
      <w:r>
        <w:t>e</w:t>
      </w:r>
      <w:r w:rsidR="00614E81">
        <w:t xml:space="preserve"> PLS n</w:t>
      </w:r>
      <w:r>
        <w:t>è</w:t>
      </w:r>
      <w:r w:rsidR="00614E81">
        <w:t xml:space="preserve"> tantomeno del </w:t>
      </w:r>
      <w:r>
        <w:t>D</w:t>
      </w:r>
      <w:r w:rsidR="00614E81">
        <w:t xml:space="preserve">istretto socio sanitario  di iscrizione. </w:t>
      </w:r>
    </w:p>
    <w:p w:rsidR="00D47B8A" w:rsidRDefault="00D47B8A" w:rsidP="00D47B8A"/>
    <w:p w:rsidR="001B2098" w:rsidRDefault="00FB08FD" w:rsidP="00D47B8A">
      <w:r>
        <w:t>Il Dr. Del Vecchio  in nome e  per della O.S. FIMMG chiede di conoscere  le modalità operative che sono state concordate con le software house, tenuto conto che il rapporto di diritto  privato ( fornitore ed utilizzatore) intercorre tra la società erogatrice ed i medici di A.P. e non già tra la Regione ed  le software house, seppur all’interno della commissione vaccini sia stata acquisita la  loro disponibilità.</w:t>
      </w:r>
    </w:p>
    <w:p w:rsidR="001B2098" w:rsidRDefault="001B2098" w:rsidP="00D47B8A"/>
    <w:p w:rsidR="001B2098" w:rsidRDefault="00FB08FD" w:rsidP="00D47B8A">
      <w:r w:rsidRPr="00D258D9">
        <w:t xml:space="preserve">Il Dr. Chiodo in nome e per conto della O.S. Snami  sottolinea la circostanza che nella seduta del  </w:t>
      </w:r>
      <w:r w:rsidR="00CE7FE7" w:rsidRPr="00D258D9">
        <w:t>21/11/2017</w:t>
      </w:r>
      <w:r w:rsidRPr="00D258D9">
        <w:t xml:space="preserve">          il problema dell’utilizzo del sistema Giava era  stato  sollevato durante il suo intervento,  senza aver ricevuto alcuna r</w:t>
      </w:r>
      <w:r w:rsidR="00D258D9" w:rsidRPr="00D258D9">
        <w:t>isposta .</w:t>
      </w:r>
    </w:p>
    <w:p w:rsidR="001B2098" w:rsidRDefault="001B2098" w:rsidP="00D47B8A"/>
    <w:p w:rsidR="001B2098" w:rsidRDefault="00FB08FD" w:rsidP="00D47B8A">
      <w:r>
        <w:t xml:space="preserve">La dr.ssa </w:t>
      </w:r>
      <w:r w:rsidR="00785875">
        <w:t>Z</w:t>
      </w:r>
      <w:r>
        <w:t>ampano  chiarisce e ribadisce  che le modalità operative concordate con le software house  non comportano  alcun</w:t>
      </w:r>
      <w:r w:rsidR="00FF3A82">
        <w:t xml:space="preserve"> aggravio  per i medici di A.P.</w:t>
      </w:r>
      <w:r>
        <w:t xml:space="preserve">, il quale continuerà ad utilizzare  il proprio gestionale, alimentando la cartella clinica del </w:t>
      </w:r>
      <w:r w:rsidR="005B60FA">
        <w:t>paziente. L’unico adempimento richiesto è quello di inviare  i propri  dati</w:t>
      </w:r>
      <w:r w:rsidR="00FF3A82">
        <w:t xml:space="preserve"> mentre </w:t>
      </w:r>
      <w:r w:rsidR="005B60FA">
        <w:t xml:space="preserve"> sarà  cura delle software house  provvedere e consentire  l’export de</w:t>
      </w:r>
      <w:r w:rsidR="00FF3A82">
        <w:t>gli stessi</w:t>
      </w:r>
      <w:r w:rsidR="005B60FA">
        <w:t>.</w:t>
      </w:r>
    </w:p>
    <w:p w:rsidR="005B60FA" w:rsidRDefault="005B60FA" w:rsidP="00D47B8A"/>
    <w:p w:rsidR="001B2098" w:rsidRDefault="005B60FA" w:rsidP="00D47B8A">
      <w:r>
        <w:t xml:space="preserve">Il Dr. Monopoli  in nome e per conto della O.S. FIMMG  </w:t>
      </w:r>
      <w:r w:rsidR="00D63DF5">
        <w:t xml:space="preserve"> prospetta l’ipotesi  </w:t>
      </w:r>
      <w:r>
        <w:t xml:space="preserve">che  devono essere le software house   a proporre un  regolamento </w:t>
      </w:r>
      <w:r w:rsidR="00D63DF5">
        <w:t xml:space="preserve">in materia ,  </w:t>
      </w:r>
      <w:r>
        <w:t>che</w:t>
      </w:r>
      <w:r w:rsidR="00D63DF5">
        <w:t xml:space="preserve"> a sua volta</w:t>
      </w:r>
      <w:r>
        <w:t xml:space="preserve"> dovrà essere condiviso</w:t>
      </w:r>
      <w:r w:rsidR="00D63DF5">
        <w:t>, magari in seno al CPR,</w:t>
      </w:r>
      <w:r>
        <w:t xml:space="preserve"> con </w:t>
      </w:r>
      <w:r w:rsidR="00D63DF5">
        <w:t xml:space="preserve"> </w:t>
      </w:r>
      <w:r>
        <w:t>i  medici di A.P.</w:t>
      </w:r>
    </w:p>
    <w:p w:rsidR="001B2098" w:rsidRDefault="001B2098" w:rsidP="00D47B8A"/>
    <w:p w:rsidR="001B2098" w:rsidRDefault="001B2098" w:rsidP="00D47B8A"/>
    <w:p w:rsidR="00B06611" w:rsidRDefault="00C95CE0" w:rsidP="00B06611">
      <w:pPr>
        <w:pBdr>
          <w:top w:val="single" w:sz="4" w:space="1" w:color="auto"/>
          <w:left w:val="single" w:sz="4" w:space="4" w:color="auto"/>
          <w:bottom w:val="single" w:sz="4" w:space="1" w:color="auto"/>
          <w:right w:val="single" w:sz="4" w:space="4" w:color="auto"/>
        </w:pBdr>
        <w:tabs>
          <w:tab w:val="clear" w:pos="0"/>
        </w:tabs>
        <w:jc w:val="left"/>
      </w:pPr>
      <w:r>
        <w:t xml:space="preserve"> Punto 3 ) </w:t>
      </w:r>
      <w:r w:rsidR="00B06611">
        <w:t>Fascicolo sanitario elettronico  alimentazione del patient summary da parte dei MMG/PLS ed eventuale piano di formazione degli stessi Richiesta del  MEF/MdS 13/02/2018;</w:t>
      </w:r>
    </w:p>
    <w:p w:rsidR="00FF3A82" w:rsidRDefault="00FF3A82" w:rsidP="00D47B8A"/>
    <w:p w:rsidR="001B2098" w:rsidRDefault="00CA646F" w:rsidP="00D47B8A">
      <w:pPr>
        <w:rPr>
          <w:rFonts w:eastAsia="Calibri"/>
          <w:sz w:val="21"/>
          <w:szCs w:val="21"/>
          <w:lang w:eastAsia="en-US"/>
        </w:rPr>
      </w:pPr>
      <w:r>
        <w:rPr>
          <w:rFonts w:eastAsia="Calibri"/>
          <w:sz w:val="21"/>
          <w:szCs w:val="21"/>
          <w:lang w:eastAsia="en-US"/>
        </w:rPr>
        <w:t>L’ing. Bavaro   chiarisce che la L.F. 2016 al co. 543 – Fascicolo Sanitario Elettronico (FSE) - ha  dato un notevole impulso</w:t>
      </w:r>
      <w:r w:rsidR="00D02155">
        <w:rPr>
          <w:rFonts w:eastAsia="Calibri"/>
          <w:sz w:val="21"/>
          <w:szCs w:val="21"/>
          <w:lang w:eastAsia="en-US"/>
        </w:rPr>
        <w:t xml:space="preserve"> in ordine alla sua attivazione.</w:t>
      </w:r>
      <w:r>
        <w:rPr>
          <w:rFonts w:eastAsia="Calibri"/>
          <w:sz w:val="21"/>
          <w:szCs w:val="21"/>
          <w:lang w:eastAsia="en-US"/>
        </w:rPr>
        <w:t xml:space="preserve"> </w:t>
      </w:r>
      <w:r w:rsidR="00D02155">
        <w:rPr>
          <w:rFonts w:eastAsia="Calibri"/>
          <w:sz w:val="21"/>
          <w:szCs w:val="21"/>
          <w:lang w:eastAsia="en-US"/>
        </w:rPr>
        <w:t>A</w:t>
      </w:r>
      <w:r>
        <w:rPr>
          <w:rFonts w:eastAsia="Calibri"/>
          <w:sz w:val="21"/>
          <w:szCs w:val="21"/>
          <w:lang w:eastAsia="en-US"/>
        </w:rPr>
        <w:t xml:space="preserve">ttualmente il gestionale  dei medici di A.P. e dei PLS  consente di acquisire il </w:t>
      </w:r>
      <w:r>
        <w:rPr>
          <w:rFonts w:eastAsia="Calibri"/>
          <w:sz w:val="21"/>
          <w:szCs w:val="21"/>
          <w:lang w:eastAsia="en-US"/>
        </w:rPr>
        <w:lastRenderedPageBreak/>
        <w:t xml:space="preserve">consenso informato per </w:t>
      </w:r>
      <w:r w:rsidR="00CF6DFC">
        <w:rPr>
          <w:rFonts w:eastAsia="Calibri"/>
          <w:sz w:val="21"/>
          <w:szCs w:val="21"/>
          <w:lang w:eastAsia="en-US"/>
        </w:rPr>
        <w:t>alimentare</w:t>
      </w:r>
      <w:r>
        <w:rPr>
          <w:rFonts w:eastAsia="Calibri"/>
          <w:sz w:val="21"/>
          <w:szCs w:val="21"/>
          <w:lang w:eastAsia="en-US"/>
        </w:rPr>
        <w:t xml:space="preserve"> il FSE. Tale funzione è </w:t>
      </w:r>
      <w:r w:rsidR="00CF6DFC">
        <w:rPr>
          <w:rFonts w:eastAsia="Calibri"/>
          <w:sz w:val="21"/>
          <w:szCs w:val="21"/>
          <w:lang w:eastAsia="en-US"/>
        </w:rPr>
        <w:t xml:space="preserve"> già </w:t>
      </w:r>
      <w:r>
        <w:rPr>
          <w:rFonts w:eastAsia="Calibri"/>
          <w:sz w:val="21"/>
          <w:szCs w:val="21"/>
          <w:lang w:eastAsia="en-US"/>
        </w:rPr>
        <w:t>operativa</w:t>
      </w:r>
      <w:r w:rsidR="00CF6DFC">
        <w:rPr>
          <w:rFonts w:eastAsia="Calibri"/>
          <w:sz w:val="21"/>
          <w:szCs w:val="21"/>
          <w:lang w:eastAsia="en-US"/>
        </w:rPr>
        <w:t xml:space="preserve"> anche se non tutti i medici di A.P. ed i PLS lo utilizzano. A tale riguardo saranno inviati, attraverso la segreteria  del CPR i  dati  statistici di coloro i quali la utilizzano. All’interno del FSE è prevista anche  l’attivazione </w:t>
      </w:r>
      <w:r w:rsidR="00D02155">
        <w:rPr>
          <w:rFonts w:eastAsia="Calibri"/>
          <w:sz w:val="21"/>
          <w:szCs w:val="21"/>
          <w:lang w:eastAsia="en-US"/>
        </w:rPr>
        <w:t xml:space="preserve"> della funzione patient summary</w:t>
      </w:r>
      <w:r w:rsidR="00CF6DFC">
        <w:rPr>
          <w:rFonts w:eastAsia="Calibri"/>
          <w:sz w:val="21"/>
          <w:szCs w:val="21"/>
          <w:lang w:eastAsia="en-US"/>
        </w:rPr>
        <w:t>, ossia</w:t>
      </w:r>
      <w:r w:rsidR="00D02155">
        <w:rPr>
          <w:rFonts w:eastAsia="Calibri"/>
          <w:sz w:val="21"/>
          <w:szCs w:val="21"/>
          <w:lang w:eastAsia="en-US"/>
        </w:rPr>
        <w:t xml:space="preserve"> il Profilo sanitario sintetico</w:t>
      </w:r>
      <w:r w:rsidR="00CF6DFC">
        <w:rPr>
          <w:rFonts w:eastAsia="Calibri"/>
          <w:sz w:val="21"/>
          <w:szCs w:val="21"/>
          <w:lang w:eastAsia="en-US"/>
        </w:rPr>
        <w:t>, che costituisce il documento  informatico sanitario  che riassume la storia  clinica del paziente e la sua situazione corrente. Tale documento viene  creato ed aggiornato  dal medico di A.P. o PLS ( in caso di minori) ogni qualvolta  intervengano cambiamenti ritenuti rilevanti della storia clinica del paziente, comunque utili in caso di emergenza. La L.F. ne ha previsto l’avvio entro il 15/6/2018 , pertanto il Ministero ci chiede  quali attività formative sono state avviate. Per</w:t>
      </w:r>
      <w:r w:rsidR="00F65BFC">
        <w:rPr>
          <w:rFonts w:eastAsia="Calibri"/>
          <w:sz w:val="21"/>
          <w:szCs w:val="21"/>
          <w:lang w:eastAsia="en-US"/>
        </w:rPr>
        <w:t xml:space="preserve"> quanto sopra ed in prossimità della imminente scadenza, </w:t>
      </w:r>
      <w:r w:rsidR="00CF6DFC">
        <w:rPr>
          <w:rFonts w:eastAsia="Calibri"/>
          <w:sz w:val="21"/>
          <w:szCs w:val="21"/>
          <w:lang w:eastAsia="en-US"/>
        </w:rPr>
        <w:t xml:space="preserve"> vi</w:t>
      </w:r>
      <w:r w:rsidR="00F65BFC">
        <w:rPr>
          <w:rFonts w:eastAsia="Calibri"/>
          <w:sz w:val="21"/>
          <w:szCs w:val="21"/>
          <w:lang w:eastAsia="en-US"/>
        </w:rPr>
        <w:t>ene richiesto ai medici di A.P. la propria  disponibilità  ad avviare una sperimentazione gestionale in tale senso .</w:t>
      </w:r>
    </w:p>
    <w:p w:rsidR="00F65BFC" w:rsidRDefault="00F65BFC" w:rsidP="00D47B8A">
      <w:pPr>
        <w:rPr>
          <w:rFonts w:eastAsia="Calibri"/>
          <w:sz w:val="21"/>
          <w:szCs w:val="21"/>
          <w:lang w:eastAsia="en-US"/>
        </w:rPr>
      </w:pPr>
    </w:p>
    <w:p w:rsidR="00F65BFC" w:rsidRDefault="00F65BFC" w:rsidP="00D47B8A">
      <w:r>
        <w:rPr>
          <w:rFonts w:eastAsia="Calibri"/>
          <w:sz w:val="21"/>
          <w:szCs w:val="21"/>
          <w:lang w:eastAsia="en-US"/>
        </w:rPr>
        <w:t xml:space="preserve">Le OO.SS. pur manifestando le loro perplessità  nel merito, si  rifanno alle  loro valutazioni già espresse a livello nazionale. </w:t>
      </w:r>
    </w:p>
    <w:p w:rsidR="001B2098" w:rsidRDefault="001B2098" w:rsidP="00D47B8A"/>
    <w:p w:rsidR="00C95CE0" w:rsidRDefault="00C95CE0" w:rsidP="00C95CE0">
      <w:pPr>
        <w:tabs>
          <w:tab w:val="clear" w:pos="0"/>
        </w:tabs>
        <w:jc w:val="left"/>
      </w:pPr>
      <w:r>
        <w:t xml:space="preserve"> </w:t>
      </w:r>
      <w:r w:rsidRPr="00C95CE0">
        <w:rPr>
          <w:bdr w:val="single" w:sz="4" w:space="0" w:color="auto"/>
        </w:rPr>
        <w:t>Punto 4) Nota FIMMG  del 12/2/2018 : SEU  118  - Scheda  digitale paziente  - tempi  di attesa .</w:t>
      </w:r>
    </w:p>
    <w:p w:rsidR="00C95CE0" w:rsidRDefault="00C95CE0" w:rsidP="00D47B8A"/>
    <w:p w:rsidR="00C95CE0" w:rsidRDefault="00C95CE0" w:rsidP="00D47B8A">
      <w:r>
        <w:t>Con nota prot. n. 03/18 la O.S. FIMMG, ha seguito della direttiva impartita dalla Direzione della Centrale operativa  118 di Bari,  circa l’avvenuta implementazione nel software della scheda paziente digitale  di  una nuova funzionalità : Tempi missione –  rappresenta che,  trattandosi di una nuova funzionalità non concordata, ma imposta unilateralmente, la stessa  non troverà piena applicazione a</w:t>
      </w:r>
      <w:r w:rsidR="0018268A">
        <w:t xml:space="preserve"> </w:t>
      </w:r>
      <w:r>
        <w:t>p</w:t>
      </w:r>
      <w:r w:rsidR="0018268A">
        <w:t>a</w:t>
      </w:r>
      <w:r>
        <w:t xml:space="preserve">rtire dal 1 aprile 2018. Pertanto chiedono un incontro urgente in sede di Tavolo tecnico.  </w:t>
      </w:r>
    </w:p>
    <w:p w:rsidR="00785875" w:rsidRDefault="00854FD3" w:rsidP="00D47B8A">
      <w:r>
        <w:t xml:space="preserve">L’ing. Bavaro </w:t>
      </w:r>
      <w:r w:rsidR="0018268A">
        <w:t>precisa che,  l</w:t>
      </w:r>
      <w:r>
        <w:t>a procedura attivata  e già sperimentata con successo in atre AA.SS.LL.</w:t>
      </w:r>
      <w:r w:rsidR="0018268A">
        <w:t xml:space="preserve">, </w:t>
      </w:r>
      <w:r>
        <w:t xml:space="preserve">  consente  con la semplice attivazione di un  tasto, di rilevare lo stato  mezzo sul punto del soccorso. Tale    procedura si è resa necessaria  per garantire “l’ intervallo  allarme  target dei mezzi di soccorso”. Tale indicatore innovativo di funzionalità  individua    la rapidità  dell’organizzazione  sanitaria  deputata all’emergenza  territoriale  e valuta in particolare la performance del sistema 118</w:t>
      </w:r>
      <w:r w:rsidR="00785875">
        <w:t xml:space="preserve">. </w:t>
      </w:r>
      <w:r w:rsidR="0018268A">
        <w:t>Tra l’altro c</w:t>
      </w:r>
      <w:r w:rsidR="00785875">
        <w:t>ostituisce un adempimento LEA</w:t>
      </w:r>
      <w:r w:rsidR="0018268A">
        <w:t xml:space="preserve"> a </w:t>
      </w:r>
      <w:r w:rsidR="00785875">
        <w:rPr>
          <w:sz w:val="23"/>
          <w:szCs w:val="23"/>
        </w:rPr>
        <w:t xml:space="preserve"> cui sono </w:t>
      </w:r>
      <w:r w:rsidR="0018268A">
        <w:rPr>
          <w:sz w:val="23"/>
          <w:szCs w:val="23"/>
        </w:rPr>
        <w:t xml:space="preserve">assoggettate tutte </w:t>
      </w:r>
      <w:r w:rsidR="00785875">
        <w:rPr>
          <w:sz w:val="23"/>
          <w:szCs w:val="23"/>
        </w:rPr>
        <w:t xml:space="preserve">le Regioni, </w:t>
      </w:r>
      <w:r w:rsidR="0018268A">
        <w:rPr>
          <w:sz w:val="23"/>
          <w:szCs w:val="23"/>
        </w:rPr>
        <w:t>asservite</w:t>
      </w:r>
      <w:r w:rsidR="00785875">
        <w:rPr>
          <w:sz w:val="23"/>
          <w:szCs w:val="23"/>
        </w:rPr>
        <w:t xml:space="preserve"> al Comitato permanente per la verifica dell’erogazione dei Livelli Essenziali di Assistenza (LEA) in condizioni di appropriatezza ed efficacia nell’utilizzo delle risorse, nei confronti de</w:t>
      </w:r>
      <w:r w:rsidR="0018268A">
        <w:rPr>
          <w:sz w:val="23"/>
          <w:szCs w:val="23"/>
        </w:rPr>
        <w:t>l</w:t>
      </w:r>
      <w:r w:rsidR="00785875">
        <w:rPr>
          <w:sz w:val="23"/>
          <w:szCs w:val="23"/>
        </w:rPr>
        <w:t xml:space="preserve"> qual</w:t>
      </w:r>
      <w:r w:rsidR="0018268A">
        <w:rPr>
          <w:sz w:val="23"/>
          <w:szCs w:val="23"/>
        </w:rPr>
        <w:t>e, la nostra Regione</w:t>
      </w:r>
      <w:r w:rsidR="00785875">
        <w:rPr>
          <w:sz w:val="23"/>
          <w:szCs w:val="23"/>
        </w:rPr>
        <w:t xml:space="preserve"> </w:t>
      </w:r>
      <w:r w:rsidR="0018268A">
        <w:rPr>
          <w:sz w:val="23"/>
          <w:szCs w:val="23"/>
        </w:rPr>
        <w:t xml:space="preserve">risulta </w:t>
      </w:r>
      <w:r w:rsidR="00785875">
        <w:rPr>
          <w:sz w:val="23"/>
          <w:szCs w:val="23"/>
        </w:rPr>
        <w:t>attualmente inadempient</w:t>
      </w:r>
      <w:r w:rsidR="0018268A">
        <w:rPr>
          <w:sz w:val="23"/>
          <w:szCs w:val="23"/>
        </w:rPr>
        <w:t>e</w:t>
      </w:r>
      <w:r w:rsidR="00785875">
        <w:rPr>
          <w:sz w:val="23"/>
          <w:szCs w:val="23"/>
        </w:rPr>
        <w:t>. La nota della O.S. Fi</w:t>
      </w:r>
      <w:r w:rsidR="0018268A">
        <w:rPr>
          <w:sz w:val="23"/>
          <w:szCs w:val="23"/>
        </w:rPr>
        <w:t>mmg  stigmatizza tale procedura</w:t>
      </w:r>
      <w:r w:rsidR="00785875">
        <w:rPr>
          <w:sz w:val="23"/>
          <w:szCs w:val="23"/>
        </w:rPr>
        <w:t xml:space="preserve">. Per la Regione invece, tale procedura costituisce  un alleggerimento degli adempimenti burocratici  in capo ai medici del 118, che attualmente adempiono </w:t>
      </w:r>
      <w:r w:rsidR="0018268A">
        <w:rPr>
          <w:sz w:val="23"/>
          <w:szCs w:val="23"/>
        </w:rPr>
        <w:t xml:space="preserve">a tale obbligo </w:t>
      </w:r>
      <w:r w:rsidR="00785875">
        <w:rPr>
          <w:sz w:val="23"/>
          <w:szCs w:val="23"/>
        </w:rPr>
        <w:t xml:space="preserve">  con supporto cartaceo. Comunque la </w:t>
      </w:r>
      <w:r w:rsidR="0018268A">
        <w:rPr>
          <w:sz w:val="23"/>
          <w:szCs w:val="23"/>
        </w:rPr>
        <w:t>R</w:t>
      </w:r>
      <w:r w:rsidR="00785875">
        <w:rPr>
          <w:sz w:val="23"/>
          <w:szCs w:val="23"/>
        </w:rPr>
        <w:t xml:space="preserve">egione si  rende disponibile  ad accogliere tutte le proposte  ed i suggerimenti che dovessero provenire dagli operatori. </w:t>
      </w:r>
    </w:p>
    <w:p w:rsidR="00506125" w:rsidRDefault="00506125" w:rsidP="00D47B8A"/>
    <w:p w:rsidR="00506125" w:rsidRDefault="00506125" w:rsidP="00D47B8A"/>
    <w:p w:rsidR="001B2098" w:rsidRDefault="00785875" w:rsidP="00D47B8A">
      <w:r>
        <w:t>IL Dr. Marino in  nome e  per della O.S. FIMMG richiama la necessità di riattivare gli incontri con gli addetti  al SEU 118: Purtroppo, è passato  circa un semestre, dall’ultimo incontro.</w:t>
      </w:r>
      <w:r w:rsidR="00BA3EFC">
        <w:t xml:space="preserve"> </w:t>
      </w:r>
      <w:r w:rsidR="00506125">
        <w:t xml:space="preserve">Quindi sarebbe auspicabile </w:t>
      </w:r>
      <w:r w:rsidR="00BA3EFC">
        <w:t>riaprire i tavoli  di confronto con le OO.SS.. Anche la riorganizzazione del sistema  SEU 118, seppur auspicato, a tutt’oggi, non si è ancora concluso. La pianta organica così come è strutturata risulta essere insufficiente  a garantire il fabbisogno assistenziale.</w:t>
      </w:r>
    </w:p>
    <w:p w:rsidR="001B2098" w:rsidRDefault="001B2098" w:rsidP="00D47B8A"/>
    <w:p w:rsidR="00506125" w:rsidRDefault="00506125" w:rsidP="00506125">
      <w:pPr>
        <w:rPr>
          <w:sz w:val="23"/>
          <w:szCs w:val="23"/>
        </w:rPr>
      </w:pPr>
      <w:r>
        <w:rPr>
          <w:sz w:val="23"/>
          <w:szCs w:val="23"/>
        </w:rPr>
        <w:t>A tale riguardo</w:t>
      </w:r>
      <w:r w:rsidR="00BA3EFC">
        <w:rPr>
          <w:sz w:val="23"/>
          <w:szCs w:val="23"/>
        </w:rPr>
        <w:t xml:space="preserve">, l’ing. Bavaro si dichiara disponibile a riattivare il gruppo di lavoro che </w:t>
      </w:r>
      <w:r>
        <w:rPr>
          <w:sz w:val="23"/>
          <w:szCs w:val="23"/>
        </w:rPr>
        <w:t xml:space="preserve"> viene fissato per il giorno 8/3/ p.v. alle ore 15.00. seguirà convocazione formale.</w:t>
      </w:r>
    </w:p>
    <w:p w:rsidR="00BA3EFC" w:rsidRDefault="00BA3EFC" w:rsidP="00506125">
      <w:pPr>
        <w:rPr>
          <w:sz w:val="23"/>
          <w:szCs w:val="23"/>
        </w:rPr>
      </w:pPr>
    </w:p>
    <w:p w:rsidR="00BA3EFC" w:rsidRDefault="00BA3EFC" w:rsidP="00506125">
      <w:pPr>
        <w:rPr>
          <w:sz w:val="23"/>
          <w:szCs w:val="23"/>
        </w:rPr>
      </w:pPr>
    </w:p>
    <w:p w:rsidR="00BA3EFC" w:rsidRDefault="00BA3EFC" w:rsidP="00506125">
      <w:pPr>
        <w:rPr>
          <w:sz w:val="23"/>
          <w:szCs w:val="23"/>
        </w:rPr>
      </w:pPr>
      <w:r>
        <w:rPr>
          <w:sz w:val="23"/>
          <w:szCs w:val="23"/>
        </w:rPr>
        <w:t>Il Dr. Ruscitti comunica ai presenti che il Dr. Lella sta seguendo  il problema della riorganizzazione del SEU 118. Infatti, ci sono stati una serie di incontri con le varie componenti della Direzione Strategica delle singole Aziende sanitarie Locali, al fine di individuare un modello  operativo che possa essere esportato e replicato su tutta la Regione. Per cui  dopo il mese di marzo  è previsto  la proposizione di alcuni modelli  organizzativi che saranno condivisi con gli operatori che saranno  coinvolti  anche in fase di audizione e di confronto. Nel Piano Operativo è stato previsto  di approvare entro il 31.12.2018 il nuovo ass</w:t>
      </w:r>
      <w:r w:rsidR="00DF4624">
        <w:rPr>
          <w:sz w:val="23"/>
          <w:szCs w:val="23"/>
        </w:rPr>
        <w:t>e</w:t>
      </w:r>
      <w:r>
        <w:rPr>
          <w:sz w:val="23"/>
          <w:szCs w:val="23"/>
        </w:rPr>
        <w:t>tto organizzativo del SEU 118.</w:t>
      </w:r>
    </w:p>
    <w:p w:rsidR="00BA3EFC" w:rsidRDefault="00BA3EFC" w:rsidP="00506125"/>
    <w:p w:rsidR="00DF4624" w:rsidRDefault="001804BA" w:rsidP="00DF4624">
      <w:pPr>
        <w:tabs>
          <w:tab w:val="clear" w:pos="0"/>
        </w:tabs>
        <w:jc w:val="left"/>
        <w:rPr>
          <w:bdr w:val="single" w:sz="4" w:space="0" w:color="auto"/>
        </w:rPr>
      </w:pPr>
      <w:r>
        <w:rPr>
          <w:bdr w:val="single" w:sz="4" w:space="0" w:color="auto"/>
        </w:rPr>
        <w:lastRenderedPageBreak/>
        <w:t xml:space="preserve"> Punto 1) </w:t>
      </w:r>
      <w:r w:rsidR="00DF4624" w:rsidRPr="00DF4624">
        <w:rPr>
          <w:bdr w:val="single" w:sz="4" w:space="0" w:color="auto"/>
        </w:rPr>
        <w:t>Sicurezza sedi di guardia medica</w:t>
      </w:r>
      <w:r>
        <w:rPr>
          <w:bdr w:val="single" w:sz="4" w:space="0" w:color="auto"/>
        </w:rPr>
        <w:t xml:space="preserve"> </w:t>
      </w:r>
    </w:p>
    <w:p w:rsidR="00DF4624" w:rsidRDefault="00DF4624" w:rsidP="00DF4624">
      <w:pPr>
        <w:tabs>
          <w:tab w:val="clear" w:pos="0"/>
        </w:tabs>
        <w:jc w:val="left"/>
        <w:rPr>
          <w:bdr w:val="single" w:sz="4" w:space="0" w:color="auto"/>
        </w:rPr>
      </w:pPr>
    </w:p>
    <w:p w:rsidR="00DF4624" w:rsidRDefault="00DF4624" w:rsidP="00D47B8A">
      <w:r>
        <w:t>Il Dr. Ruscitti   riparte  dalle proposte  formulate dalla parte pubblica  nella seduta dl 24.6</w:t>
      </w:r>
      <w:r w:rsidR="00D02155">
        <w:t>.</w:t>
      </w:r>
      <w:r>
        <w:t xml:space="preserve">2017, sulle quali non si  era stato manifestata una posizione univoca d parte delle OO.SS. in questa elasso di tempo,  c’e stata  una fitta interlocuzione con la Prefettura di Bari, al fine di valutare proposte operative per fronteggiare  episodi  di  aggressione nei confronti degli operatori  del servizio di continuità assistenziale. Tale interlocuzione si è concretizzata  con il documento  studio di fattibilità  elaborato dalla Prefettura che è stato illustrato  nella precedente seduta del 23/1/2018, rispetto al quale le OO.SS. sono invitate ad esprimersi. </w:t>
      </w:r>
    </w:p>
    <w:p w:rsidR="00DF4624" w:rsidRDefault="00DF4624" w:rsidP="00D47B8A"/>
    <w:p w:rsidR="00DF4624" w:rsidRDefault="00DF4624" w:rsidP="00D47B8A">
      <w:r>
        <w:t>A tale riguardo le OO.SS. consegnano un documento che viene acquisito agli atti.</w:t>
      </w:r>
    </w:p>
    <w:p w:rsidR="00DF4624" w:rsidRDefault="00DF4624" w:rsidP="00D47B8A"/>
    <w:p w:rsidR="00D47B8A" w:rsidRPr="002E0F04" w:rsidRDefault="00D47B8A" w:rsidP="00D47B8A">
      <w:pPr>
        <w:pBdr>
          <w:top w:val="single" w:sz="4" w:space="1" w:color="auto"/>
          <w:left w:val="single" w:sz="4" w:space="4" w:color="auto"/>
          <w:bottom w:val="single" w:sz="4" w:space="0" w:color="auto"/>
          <w:right w:val="single" w:sz="4" w:space="4" w:color="auto"/>
        </w:pBdr>
        <w:tabs>
          <w:tab w:val="clear" w:pos="0"/>
        </w:tabs>
        <w:rPr>
          <w:sz w:val="21"/>
          <w:szCs w:val="21"/>
        </w:rPr>
      </w:pPr>
      <w:r w:rsidRPr="002E0F04">
        <w:rPr>
          <w:sz w:val="21"/>
          <w:szCs w:val="21"/>
        </w:rPr>
        <w:t xml:space="preserve">Il CPR,  esamina - Punto </w:t>
      </w:r>
      <w:r>
        <w:rPr>
          <w:sz w:val="21"/>
          <w:szCs w:val="21"/>
        </w:rPr>
        <w:t>2</w:t>
      </w:r>
      <w:r w:rsidRPr="002E0F04">
        <w:rPr>
          <w:sz w:val="21"/>
          <w:szCs w:val="21"/>
        </w:rPr>
        <w:t xml:space="preserve">  -  Quesito ASL BA : forme associative semplici – interpretazione autentica combinato disposto art. 2 commi </w:t>
      </w:r>
      <w:r>
        <w:rPr>
          <w:sz w:val="21"/>
          <w:szCs w:val="21"/>
        </w:rPr>
        <w:t>3</w:t>
      </w:r>
      <w:r w:rsidRPr="002E0F04">
        <w:rPr>
          <w:sz w:val="21"/>
          <w:szCs w:val="21"/>
        </w:rPr>
        <w:t xml:space="preserve"> ) e 10)  AIR </w:t>
      </w:r>
      <w:r>
        <w:rPr>
          <w:sz w:val="21"/>
          <w:szCs w:val="21"/>
        </w:rPr>
        <w:t xml:space="preserve">MMG </w:t>
      </w:r>
      <w:r w:rsidRPr="002E0F04">
        <w:rPr>
          <w:sz w:val="21"/>
          <w:szCs w:val="21"/>
        </w:rPr>
        <w:t xml:space="preserve"> anno   2007.</w:t>
      </w:r>
    </w:p>
    <w:p w:rsidR="00B06611" w:rsidRDefault="00B06611" w:rsidP="00D47B8A">
      <w:pPr>
        <w:tabs>
          <w:tab w:val="clear" w:pos="0"/>
        </w:tabs>
        <w:overflowPunct/>
        <w:autoSpaceDE/>
        <w:autoSpaceDN/>
        <w:adjustRightInd/>
        <w:textAlignment w:val="auto"/>
        <w:rPr>
          <w:rFonts w:eastAsia="Calibri"/>
          <w:sz w:val="21"/>
          <w:szCs w:val="21"/>
          <w:lang w:eastAsia="en-US"/>
        </w:rPr>
      </w:pPr>
    </w:p>
    <w:p w:rsidR="00D47B8A" w:rsidRPr="002E0F04" w:rsidRDefault="009D20C9" w:rsidP="00D47B8A">
      <w:pPr>
        <w:tabs>
          <w:tab w:val="clear" w:pos="0"/>
        </w:tabs>
        <w:overflowPunct/>
        <w:autoSpaceDE/>
        <w:autoSpaceDN/>
        <w:adjustRightInd/>
        <w:textAlignment w:val="auto"/>
        <w:rPr>
          <w:rFonts w:eastAsia="Calibri"/>
          <w:sz w:val="21"/>
          <w:szCs w:val="21"/>
          <w:lang w:eastAsia="en-US"/>
        </w:rPr>
      </w:pPr>
      <w:r>
        <w:rPr>
          <w:rFonts w:eastAsia="Calibri"/>
          <w:sz w:val="21"/>
          <w:szCs w:val="21"/>
          <w:lang w:eastAsia="en-US"/>
        </w:rPr>
        <w:t>S</w:t>
      </w:r>
      <w:r w:rsidR="00D47B8A" w:rsidRPr="002E0F04">
        <w:rPr>
          <w:rFonts w:eastAsia="Calibri"/>
          <w:sz w:val="21"/>
          <w:szCs w:val="21"/>
          <w:lang w:eastAsia="en-US"/>
        </w:rPr>
        <w:t>i precisa che il divieto introdotto dl comma 2</w:t>
      </w:r>
      <w:r w:rsidR="00D47B8A">
        <w:rPr>
          <w:rFonts w:eastAsia="Calibri"/>
          <w:sz w:val="21"/>
          <w:szCs w:val="21"/>
          <w:lang w:eastAsia="en-US"/>
        </w:rPr>
        <w:t>)</w:t>
      </w:r>
      <w:r w:rsidR="00D47B8A" w:rsidRPr="002E0F04">
        <w:rPr>
          <w:rFonts w:eastAsia="Calibri"/>
          <w:sz w:val="21"/>
          <w:szCs w:val="21"/>
          <w:lang w:eastAsia="en-US"/>
        </w:rPr>
        <w:t xml:space="preserve"> riguarda le “ nuove “ forme associative. Nella fattispecie trattasi di ricostituzione del numero legale in ragione del comma 10</w:t>
      </w:r>
      <w:r w:rsidR="00D47B8A">
        <w:rPr>
          <w:rFonts w:eastAsia="Calibri"/>
          <w:sz w:val="21"/>
          <w:szCs w:val="21"/>
          <w:lang w:eastAsia="en-US"/>
        </w:rPr>
        <w:t>)</w:t>
      </w:r>
      <w:r w:rsidR="00D47B8A" w:rsidRPr="002E0F04">
        <w:rPr>
          <w:rFonts w:eastAsia="Calibri"/>
          <w:sz w:val="21"/>
          <w:szCs w:val="21"/>
          <w:lang w:eastAsia="en-US"/>
        </w:rPr>
        <w:t>. Pertanto quest’ultimo non risulta in contrasto con il divieto introdotto dal comma 2</w:t>
      </w:r>
      <w:r w:rsidR="00D47B8A">
        <w:rPr>
          <w:rFonts w:eastAsia="Calibri"/>
          <w:sz w:val="21"/>
          <w:szCs w:val="21"/>
          <w:lang w:eastAsia="en-US"/>
        </w:rPr>
        <w:t>)</w:t>
      </w:r>
      <w:r w:rsidR="00D47B8A" w:rsidRPr="002E0F04">
        <w:rPr>
          <w:rFonts w:eastAsia="Calibri"/>
          <w:sz w:val="21"/>
          <w:szCs w:val="21"/>
          <w:lang w:eastAsia="en-US"/>
        </w:rPr>
        <w:t>.</w:t>
      </w:r>
    </w:p>
    <w:p w:rsidR="00D47B8A" w:rsidRPr="002E0F04" w:rsidRDefault="00D47B8A" w:rsidP="00D47B8A">
      <w:pPr>
        <w:tabs>
          <w:tab w:val="clear" w:pos="0"/>
        </w:tabs>
        <w:overflowPunct/>
        <w:autoSpaceDE/>
        <w:autoSpaceDN/>
        <w:adjustRightInd/>
        <w:textAlignment w:val="auto"/>
        <w:rPr>
          <w:rFonts w:eastAsia="Calibri"/>
          <w:sz w:val="21"/>
          <w:szCs w:val="21"/>
          <w:lang w:eastAsia="en-US"/>
        </w:rPr>
      </w:pPr>
    </w:p>
    <w:p w:rsidR="00D47B8A" w:rsidRDefault="00D47B8A" w:rsidP="00D47B8A"/>
    <w:p w:rsidR="00D47B8A" w:rsidRDefault="009D20C9" w:rsidP="009D20C9">
      <w:pPr>
        <w:pBdr>
          <w:top w:val="single" w:sz="4" w:space="1" w:color="auto"/>
          <w:left w:val="single" w:sz="4" w:space="4" w:color="auto"/>
          <w:bottom w:val="single" w:sz="4" w:space="1" w:color="auto"/>
          <w:right w:val="single" w:sz="4" w:space="4" w:color="auto"/>
        </w:pBdr>
      </w:pPr>
      <w:r>
        <w:t xml:space="preserve">Quesito ASL BA  iscrizione in deroga   pazienti non residenti </w:t>
      </w:r>
    </w:p>
    <w:p w:rsidR="00D47B8A" w:rsidRDefault="00D47B8A" w:rsidP="00D47B8A">
      <w:pPr>
        <w:jc w:val="right"/>
      </w:pPr>
    </w:p>
    <w:p w:rsidR="00CC15BA" w:rsidRDefault="00CC15BA" w:rsidP="00CC15BA">
      <w:pPr>
        <w:jc w:val="left"/>
      </w:pPr>
      <w:r>
        <w:t>La Asl Ba con nota prot.34056/UOR29 del 6/2/2018 ha posto il seguente quesito:</w:t>
      </w:r>
    </w:p>
    <w:p w:rsidR="009D20C9" w:rsidRDefault="009D20C9" w:rsidP="00A378CC">
      <w:pPr>
        <w:rPr>
          <w:i/>
        </w:rPr>
      </w:pPr>
      <w:r>
        <w:t xml:space="preserve">“ </w:t>
      </w:r>
      <w:r w:rsidRPr="00A378CC">
        <w:rPr>
          <w:i/>
        </w:rPr>
        <w:t xml:space="preserve">La normativa vigente ( circolare ministero della Sanità 11 maggio 1984 n. 1000.106) prevede l’iscrizione temporanea </w:t>
      </w:r>
      <w:r w:rsidR="00A378CC" w:rsidRPr="00A378CC">
        <w:rPr>
          <w:i/>
        </w:rPr>
        <w:t xml:space="preserve"> nell’anagrafe sanitaria  aziendale relativa al Comune  dove l’utente si è trasferito  per lavoro studio o salute per un periodo non inferiore a tre mesi : l’iscrizione ha la validità  di 1 anno prorogabile, secondo i casi,</w:t>
      </w:r>
      <w:r w:rsidR="00D02155">
        <w:rPr>
          <w:i/>
        </w:rPr>
        <w:t xml:space="preserve"> </w:t>
      </w:r>
      <w:r w:rsidR="00A378CC" w:rsidRPr="00A378CC">
        <w:rPr>
          <w:i/>
        </w:rPr>
        <w:t xml:space="preserve">a 2-5 anni……….quando i due domicili ( abitativo e lavorativo)  non coincidono, la scelta </w:t>
      </w:r>
      <w:r w:rsidR="00CC15BA">
        <w:rPr>
          <w:i/>
        </w:rPr>
        <w:t>del medico  di medicina generale</w:t>
      </w:r>
      <w:r w:rsidR="00A378CC" w:rsidRPr="00A378CC">
        <w:rPr>
          <w:i/>
        </w:rPr>
        <w:t>, dev’essere effettuata nel comune dove ha eletto il domicilio, c</w:t>
      </w:r>
      <w:r w:rsidR="00CC15BA">
        <w:rPr>
          <w:i/>
        </w:rPr>
        <w:t>ome viene richiesto dallo stesso</w:t>
      </w:r>
      <w:r w:rsidR="00A378CC" w:rsidRPr="00A378CC">
        <w:rPr>
          <w:i/>
        </w:rPr>
        <w:t>, o in quello  dove è stato trasferito per motivi di lavoro”.</w:t>
      </w:r>
    </w:p>
    <w:p w:rsidR="00CC15BA" w:rsidRDefault="00CC15BA" w:rsidP="00A378CC"/>
    <w:p w:rsidR="00A378CC" w:rsidRPr="00A378CC" w:rsidRDefault="00CC15BA" w:rsidP="00A378CC">
      <w:r>
        <w:t xml:space="preserve">Risposta: </w:t>
      </w:r>
      <w:r w:rsidR="00A378CC">
        <w:t>Fermo restando la no</w:t>
      </w:r>
      <w:r>
        <w:t xml:space="preserve">rmativa di riferimento citata  </w:t>
      </w:r>
      <w:r w:rsidR="00A378CC">
        <w:t xml:space="preserve">che è   precisa e puntuale, ai fini della individuazione dei soggetti aventi </w:t>
      </w:r>
      <w:r>
        <w:t>titolo e</w:t>
      </w:r>
      <w:r w:rsidR="00A378CC">
        <w:t>d</w:t>
      </w:r>
      <w:r>
        <w:t xml:space="preserve"> a</w:t>
      </w:r>
      <w:r w:rsidR="00A378CC">
        <w:t xml:space="preserve">lla durata, </w:t>
      </w:r>
      <w:r w:rsidR="00D82153">
        <w:t xml:space="preserve">pur tuttavia </w:t>
      </w:r>
      <w:r w:rsidR="00A378CC">
        <w:t xml:space="preserve">il CPR  </w:t>
      </w:r>
      <w:r w:rsidR="00D82153">
        <w:t>ravvisa che la stessa normativa</w:t>
      </w:r>
      <w:r w:rsidR="00A378CC">
        <w:t xml:space="preserve">, </w:t>
      </w:r>
      <w:r>
        <w:t>attribuisce il titolo alla iscrizione in deroga  con riferimento non già al</w:t>
      </w:r>
      <w:r w:rsidR="00A378CC">
        <w:t xml:space="preserve"> domicilio</w:t>
      </w:r>
      <w:r w:rsidR="00D02155">
        <w:t xml:space="preserve"> </w:t>
      </w:r>
      <w:r>
        <w:t>( luogo in cui una persona ha  stabilito la sede principale dei suoi interessi e dei suoi affari)</w:t>
      </w:r>
      <w:r w:rsidR="00A378CC">
        <w:t xml:space="preserve"> ma di </w:t>
      </w:r>
      <w:r w:rsidR="00D82153">
        <w:t>“</w:t>
      </w:r>
      <w:r w:rsidR="00D02155">
        <w:t xml:space="preserve"> </w:t>
      </w:r>
      <w:r w:rsidR="00A378CC">
        <w:t>dimora</w:t>
      </w:r>
      <w:r w:rsidR="00D82153">
        <w:t xml:space="preserve"> “ </w:t>
      </w:r>
      <w:r>
        <w:t>( luogo attualmente i</w:t>
      </w:r>
      <w:r w:rsidR="00D82153">
        <w:t xml:space="preserve">n </w:t>
      </w:r>
      <w:r>
        <w:t xml:space="preserve"> cui una persona si trova </w:t>
      </w:r>
      <w:r w:rsidR="00D82153">
        <w:t>anche allo scopo di esercitarvi una professione, arte o mestiere</w:t>
      </w:r>
      <w:r>
        <w:t>)</w:t>
      </w:r>
      <w:r w:rsidR="00D82153">
        <w:t>.</w:t>
      </w:r>
      <w:r w:rsidR="00C74A23">
        <w:t xml:space="preserve"> </w:t>
      </w:r>
      <w:r w:rsidR="00A378CC">
        <w:t>Pertanto, nel caso specifico sottoposto</w:t>
      </w:r>
      <w:r w:rsidR="00D82153">
        <w:t xml:space="preserve"> all’es</w:t>
      </w:r>
      <w:r w:rsidR="00C74A23">
        <w:t>ame del C</w:t>
      </w:r>
      <w:r w:rsidR="00D82153">
        <w:t>omitato</w:t>
      </w:r>
      <w:r w:rsidR="00A378CC">
        <w:t xml:space="preserve">, </w:t>
      </w:r>
      <w:r w:rsidR="00D82153">
        <w:t xml:space="preserve">l’iscrizione dev’essere garantita  dal Comune dove il soggetto avente titolo  ha </w:t>
      </w:r>
      <w:r w:rsidR="00C74A23">
        <w:t>mantenuto la dimora abituale e/o di fatto</w:t>
      </w:r>
      <w:r w:rsidR="00D82153">
        <w:t>. Di conseguenza</w:t>
      </w:r>
      <w:r w:rsidR="00C74A23">
        <w:t>,</w:t>
      </w:r>
      <w:r w:rsidR="00D02155">
        <w:t xml:space="preserve"> ed  a titolo di esempio </w:t>
      </w:r>
      <w:r w:rsidR="00D82153">
        <w:t xml:space="preserve"> un insegnante incaricato di  una supplenza annuale </w:t>
      </w:r>
      <w:r w:rsidR="00C74A23">
        <w:t xml:space="preserve"> </w:t>
      </w:r>
      <w:r w:rsidR="00D82153">
        <w:t>nel Comune A)</w:t>
      </w:r>
      <w:r w:rsidR="00C74A23">
        <w:t xml:space="preserve"> - dove ha eletto la sua dimora -  qualora l’anno successivo  gli venga </w:t>
      </w:r>
      <w:r w:rsidR="00D82153">
        <w:t xml:space="preserve"> </w:t>
      </w:r>
      <w:r w:rsidR="00C74A23">
        <w:t xml:space="preserve">assegnato  una supplenza nel  Comune B), mantiene l’iscrizione in deroga nel Comune A)- nei limiti  temporale della succitata circolare </w:t>
      </w:r>
      <w:r w:rsidR="00D02155">
        <w:t>ministeriale</w:t>
      </w:r>
      <w:r w:rsidR="00C74A23">
        <w:t xml:space="preserve">-.  </w:t>
      </w:r>
      <w:r w:rsidR="00D82153">
        <w:t xml:space="preserve"> </w:t>
      </w:r>
    </w:p>
    <w:p w:rsidR="009D20C9" w:rsidRDefault="009D20C9" w:rsidP="00D47B8A">
      <w:pPr>
        <w:jc w:val="right"/>
      </w:pPr>
    </w:p>
    <w:p w:rsidR="00C74A23" w:rsidRDefault="0018268A" w:rsidP="00C95CE0">
      <w:pPr>
        <w:pBdr>
          <w:top w:val="single" w:sz="4" w:space="1" w:color="auto"/>
          <w:left w:val="single" w:sz="4" w:space="4" w:color="auto"/>
          <w:bottom w:val="single" w:sz="4" w:space="1" w:color="auto"/>
          <w:right w:val="single" w:sz="4" w:space="4" w:color="auto"/>
        </w:pBdr>
        <w:tabs>
          <w:tab w:val="clear" w:pos="0"/>
        </w:tabs>
        <w:jc w:val="left"/>
      </w:pPr>
      <w:r>
        <w:t xml:space="preserve">Punto 8) </w:t>
      </w:r>
      <w:r w:rsidR="00C74A23">
        <w:t xml:space="preserve">Richiesta Snami :  informativa  alla cittadinanza sul principio della appropriatezza prescrittiva – in analogia  al modello già utilizzato nella ASL FG </w:t>
      </w:r>
    </w:p>
    <w:p w:rsidR="009D20C9" w:rsidRDefault="009D20C9" w:rsidP="00D47B8A">
      <w:pPr>
        <w:jc w:val="right"/>
      </w:pPr>
    </w:p>
    <w:p w:rsidR="0018268A" w:rsidRDefault="0018268A" w:rsidP="00D02155">
      <w:r>
        <w:t xml:space="preserve">Si concorda sulla necessità di sensibilizzare le Direzioni Generali delle AA.SS.LL. affinché    garantiscano la massima pubblicità in relazione ai provvedimenti emanati dalla Mistero della Salute  in materia di appropriatezza prescrittiva (DM 9/12/2015 </w:t>
      </w:r>
      <w:r w:rsidRPr="00D02155">
        <w:t>e circolare regionale n.</w:t>
      </w:r>
      <w:r w:rsidR="00D02155">
        <w:t xml:space="preserve"> </w:t>
      </w:r>
      <w:r w:rsidR="00816E3F">
        <w:t xml:space="preserve">2829 del 29/3/2016 </w:t>
      </w:r>
      <w:r>
        <w:t>) magari utilizzando il modello già in uso nella ASL FG ed allegato al presente verbale.</w:t>
      </w:r>
    </w:p>
    <w:p w:rsidR="0018268A" w:rsidRDefault="0018268A" w:rsidP="00D02155"/>
    <w:p w:rsidR="0018268A" w:rsidRDefault="0018268A" w:rsidP="00D47B8A">
      <w:pPr>
        <w:jc w:val="right"/>
      </w:pPr>
    </w:p>
    <w:p w:rsidR="0018268A" w:rsidRDefault="0018268A" w:rsidP="00D47B8A">
      <w:pPr>
        <w:jc w:val="right"/>
      </w:pPr>
    </w:p>
    <w:p w:rsidR="00D47B8A" w:rsidRDefault="00D47B8A" w:rsidP="00D47B8A">
      <w:pPr>
        <w:jc w:val="right"/>
      </w:pPr>
      <w:r>
        <w:t>L.C.S.</w:t>
      </w:r>
      <w:r w:rsidRPr="00AA49CC">
        <w:t xml:space="preserve"> </w:t>
      </w:r>
      <w:r>
        <w:t xml:space="preserve">                                                                                                                                                   Il segretario redigente </w:t>
      </w:r>
    </w:p>
    <w:p w:rsidR="007440C4" w:rsidRDefault="00D47B8A" w:rsidP="00816E3F">
      <w:pPr>
        <w:jc w:val="center"/>
      </w:pPr>
      <w:r>
        <w:t xml:space="preserve">                                                                                                                                                           Dott. Vito Carbone</w:t>
      </w:r>
      <w:bookmarkStart w:id="0" w:name="_GoBack"/>
      <w:bookmarkEnd w:id="0"/>
    </w:p>
    <w:sectPr w:rsidR="007440C4" w:rsidSect="00A378CC">
      <w:footerReference w:type="even" r:id="rId8"/>
      <w:footerReference w:type="default" r:id="rId9"/>
      <w:footnotePr>
        <w:pos w:val="sectEnd"/>
      </w:footnotePr>
      <w:endnotePr>
        <w:numFmt w:val="decimal"/>
        <w:numStart w:val="0"/>
      </w:endnotePr>
      <w:pgSz w:w="12240" w:h="15840"/>
      <w:pgMar w:top="454" w:right="760" w:bottom="28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C3" w:rsidRDefault="00EC1AC3" w:rsidP="0068618C">
      <w:r>
        <w:separator/>
      </w:r>
    </w:p>
  </w:endnote>
  <w:endnote w:type="continuationSeparator" w:id="0">
    <w:p w:rsidR="00EC1AC3" w:rsidRDefault="00EC1AC3" w:rsidP="0068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CC" w:rsidRDefault="00442DC7" w:rsidP="00A378CC">
    <w:pPr>
      <w:pStyle w:val="Pidipagina"/>
      <w:rPr>
        <w:rStyle w:val="Numeropagina"/>
      </w:rPr>
    </w:pPr>
    <w:r>
      <w:rPr>
        <w:rStyle w:val="Numeropagina"/>
      </w:rPr>
      <w:fldChar w:fldCharType="begin"/>
    </w:r>
    <w:r w:rsidR="00A378CC">
      <w:rPr>
        <w:rStyle w:val="Numeropagina"/>
      </w:rPr>
      <w:instrText xml:space="preserve">PAGE  </w:instrText>
    </w:r>
    <w:r>
      <w:rPr>
        <w:rStyle w:val="Numeropagina"/>
      </w:rPr>
      <w:fldChar w:fldCharType="end"/>
    </w:r>
  </w:p>
  <w:p w:rsidR="00A378CC" w:rsidRDefault="00A378CC" w:rsidP="00A378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CC" w:rsidRDefault="00442DC7" w:rsidP="00A378CC">
    <w:pPr>
      <w:pStyle w:val="Pidipagina"/>
      <w:rPr>
        <w:rStyle w:val="Numeropagina"/>
      </w:rPr>
    </w:pPr>
    <w:r>
      <w:rPr>
        <w:rStyle w:val="Numeropagina"/>
      </w:rPr>
      <w:fldChar w:fldCharType="begin"/>
    </w:r>
    <w:r w:rsidR="00A378CC">
      <w:rPr>
        <w:rStyle w:val="Numeropagina"/>
      </w:rPr>
      <w:instrText xml:space="preserve">PAGE  </w:instrText>
    </w:r>
    <w:r>
      <w:rPr>
        <w:rStyle w:val="Numeropagina"/>
      </w:rPr>
      <w:fldChar w:fldCharType="separate"/>
    </w:r>
    <w:r w:rsidR="00816E3F">
      <w:rPr>
        <w:rStyle w:val="Numeropagina"/>
        <w:noProof/>
      </w:rPr>
      <w:t>4</w:t>
    </w:r>
    <w:r>
      <w:rPr>
        <w:rStyle w:val="Numeropagina"/>
      </w:rPr>
      <w:fldChar w:fldCharType="end"/>
    </w:r>
  </w:p>
  <w:p w:rsidR="00A378CC" w:rsidRDefault="00A378CC" w:rsidP="00A378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C3" w:rsidRDefault="00EC1AC3" w:rsidP="0068618C">
      <w:r>
        <w:separator/>
      </w:r>
    </w:p>
  </w:footnote>
  <w:footnote w:type="continuationSeparator" w:id="0">
    <w:p w:rsidR="00EC1AC3" w:rsidRDefault="00EC1AC3" w:rsidP="00686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903EF"/>
    <w:multiLevelType w:val="hybridMultilevel"/>
    <w:tmpl w:val="DF8EF010"/>
    <w:lvl w:ilvl="0" w:tplc="0216691C">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2"/>
  </w:compat>
  <w:rsids>
    <w:rsidRoot w:val="00D47B8A"/>
    <w:rsid w:val="001804BA"/>
    <w:rsid w:val="0018268A"/>
    <w:rsid w:val="001B2098"/>
    <w:rsid w:val="00442DC7"/>
    <w:rsid w:val="00506125"/>
    <w:rsid w:val="005B60FA"/>
    <w:rsid w:val="00614E81"/>
    <w:rsid w:val="0068618C"/>
    <w:rsid w:val="00691F60"/>
    <w:rsid w:val="007440C4"/>
    <w:rsid w:val="00785875"/>
    <w:rsid w:val="00816E3F"/>
    <w:rsid w:val="00854FD3"/>
    <w:rsid w:val="008902C8"/>
    <w:rsid w:val="009C21D3"/>
    <w:rsid w:val="009D20C9"/>
    <w:rsid w:val="00A378CC"/>
    <w:rsid w:val="00A8156A"/>
    <w:rsid w:val="00B06611"/>
    <w:rsid w:val="00B53B10"/>
    <w:rsid w:val="00B610BF"/>
    <w:rsid w:val="00BA3EFC"/>
    <w:rsid w:val="00C74A23"/>
    <w:rsid w:val="00C95CE0"/>
    <w:rsid w:val="00CA646F"/>
    <w:rsid w:val="00CB29A3"/>
    <w:rsid w:val="00CC15BA"/>
    <w:rsid w:val="00CE7FE7"/>
    <w:rsid w:val="00CF6DFC"/>
    <w:rsid w:val="00D02155"/>
    <w:rsid w:val="00D258D9"/>
    <w:rsid w:val="00D47B8A"/>
    <w:rsid w:val="00D63DF5"/>
    <w:rsid w:val="00D82153"/>
    <w:rsid w:val="00DE1010"/>
    <w:rsid w:val="00DF4624"/>
    <w:rsid w:val="00EC1AC3"/>
    <w:rsid w:val="00F65BFC"/>
    <w:rsid w:val="00FB08FD"/>
    <w:rsid w:val="00FF3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B8A"/>
    <w:pPr>
      <w:tabs>
        <w:tab w:val="left" w:pos="0"/>
      </w:tabs>
      <w:overflowPunct w:val="0"/>
      <w:autoSpaceDE w:val="0"/>
      <w:autoSpaceDN w:val="0"/>
      <w:adjustRightInd w:val="0"/>
      <w:spacing w:after="0" w:line="240" w:lineRule="auto"/>
      <w:jc w:val="both"/>
      <w:textAlignment w:val="baseline"/>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D47B8A"/>
    <w:pPr>
      <w:overflowPunct/>
      <w:autoSpaceDE/>
      <w:autoSpaceDN/>
      <w:adjustRightInd/>
      <w:jc w:val="center"/>
      <w:textAlignment w:val="auto"/>
    </w:pPr>
    <w:rPr>
      <w:b/>
      <w:sz w:val="24"/>
    </w:rPr>
  </w:style>
  <w:style w:type="character" w:customStyle="1" w:styleId="TitoloCarattere">
    <w:name w:val="Titolo Carattere"/>
    <w:basedOn w:val="Carpredefinitoparagrafo"/>
    <w:link w:val="Titolo"/>
    <w:rsid w:val="00D47B8A"/>
    <w:rPr>
      <w:rFonts w:ascii="Calibri" w:eastAsia="Times New Roman" w:hAnsi="Calibri" w:cs="Times New Roman"/>
      <w:b/>
      <w:sz w:val="24"/>
      <w:lang w:eastAsia="it-IT"/>
    </w:rPr>
  </w:style>
  <w:style w:type="paragraph" w:styleId="Pidipagina">
    <w:name w:val="footer"/>
    <w:basedOn w:val="Normale"/>
    <w:link w:val="PidipaginaCarattere"/>
    <w:rsid w:val="00D47B8A"/>
    <w:pPr>
      <w:tabs>
        <w:tab w:val="center" w:pos="4819"/>
        <w:tab w:val="right" w:pos="9638"/>
      </w:tabs>
    </w:pPr>
  </w:style>
  <w:style w:type="character" w:customStyle="1" w:styleId="PidipaginaCarattere">
    <w:name w:val="Piè di pagina Carattere"/>
    <w:basedOn w:val="Carpredefinitoparagrafo"/>
    <w:link w:val="Pidipagina"/>
    <w:rsid w:val="00D47B8A"/>
    <w:rPr>
      <w:rFonts w:ascii="Calibri" w:eastAsia="Times New Roman" w:hAnsi="Calibri" w:cs="Times New Roman"/>
      <w:lang w:eastAsia="it-IT"/>
    </w:rPr>
  </w:style>
  <w:style w:type="character" w:styleId="Numeropagina">
    <w:name w:val="page number"/>
    <w:basedOn w:val="Carpredefinitoparagrafo"/>
    <w:rsid w:val="00D47B8A"/>
  </w:style>
  <w:style w:type="paragraph" w:styleId="Paragrafoelenco">
    <w:name w:val="List Paragraph"/>
    <w:basedOn w:val="Normale"/>
    <w:uiPriority w:val="34"/>
    <w:qFormat/>
    <w:rsid w:val="00D47B8A"/>
    <w:pPr>
      <w:overflowPunct/>
      <w:autoSpaceDE/>
      <w:autoSpaceDN/>
      <w:adjustRightInd/>
      <w:ind w:left="720"/>
      <w:textAlignment w:val="auto"/>
    </w:pPr>
    <w:rPr>
      <w:rFonts w:eastAsia="Calibri"/>
      <w:lang w:eastAsia="en-US"/>
    </w:rPr>
  </w:style>
  <w:style w:type="paragraph" w:customStyle="1" w:styleId="Default">
    <w:name w:val="Default"/>
    <w:rsid w:val="00854F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4</Pages>
  <Words>2224</Words>
  <Characters>12679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dcterms:created xsi:type="dcterms:W3CDTF">2018-03-03T14:07:00Z</dcterms:created>
  <dcterms:modified xsi:type="dcterms:W3CDTF">2018-03-19T09:53:00Z</dcterms:modified>
</cp:coreProperties>
</file>